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5D1F" w14:textId="11F8AC31" w:rsidR="00E5053D" w:rsidRPr="00E5053D" w:rsidRDefault="00E52C10" w:rsidP="0032089C">
      <w:pPr>
        <w:spacing w:after="0" w:line="240" w:lineRule="auto"/>
        <w:rPr>
          <w:b/>
        </w:rPr>
      </w:pPr>
      <w:r>
        <w:rPr>
          <w:b/>
        </w:rPr>
        <w:t xml:space="preserve">En el marco del </w:t>
      </w:r>
      <w:r w:rsidR="004D625B">
        <w:rPr>
          <w:b/>
        </w:rPr>
        <w:t xml:space="preserve">Encuentro </w:t>
      </w:r>
      <w:r w:rsidR="00E96B33">
        <w:rPr>
          <w:b/>
        </w:rPr>
        <w:t>Pre Disur La Serena</w:t>
      </w:r>
    </w:p>
    <w:p w14:paraId="3F67D3CB" w14:textId="01571E84" w:rsidR="0032089C" w:rsidRDefault="00E96B33" w:rsidP="0032089C">
      <w:pPr>
        <w:spacing w:after="0" w:line="240" w:lineRule="auto"/>
        <w:rPr>
          <w:b/>
        </w:rPr>
      </w:pPr>
      <w:r>
        <w:rPr>
          <w:b/>
        </w:rPr>
        <w:t>Foro de Directorx</w:t>
      </w:r>
      <w:r w:rsidR="00E5053D" w:rsidRPr="00E5053D">
        <w:rPr>
          <w:b/>
        </w:rPr>
        <w:t>s</w:t>
      </w:r>
      <w:r>
        <w:rPr>
          <w:b/>
        </w:rPr>
        <w:t>, 21 de septiembre</w:t>
      </w:r>
      <w:r w:rsidR="004D625B">
        <w:rPr>
          <w:b/>
        </w:rPr>
        <w:t xml:space="preserve"> </w:t>
      </w:r>
    </w:p>
    <w:p w14:paraId="0D34ECAA" w14:textId="77777777" w:rsidR="0032089C" w:rsidRDefault="0032089C" w:rsidP="0032089C">
      <w:pPr>
        <w:spacing w:after="0" w:line="240" w:lineRule="auto"/>
        <w:rPr>
          <w:b/>
        </w:rPr>
      </w:pPr>
      <w:r>
        <w:rPr>
          <w:b/>
        </w:rPr>
        <w:t>Reunidos en plataforma digital comenzamos a sesionar a partir de las 17.20 horas hasta la 20:30</w:t>
      </w:r>
    </w:p>
    <w:p w14:paraId="063A4D80" w14:textId="77777777" w:rsidR="004D625B" w:rsidRDefault="004D625B" w:rsidP="0032089C">
      <w:pPr>
        <w:spacing w:after="0" w:line="240" w:lineRule="auto"/>
        <w:rPr>
          <w:b/>
        </w:rPr>
      </w:pPr>
    </w:p>
    <w:p w14:paraId="4267E809" w14:textId="77777777" w:rsidR="0032089C" w:rsidRDefault="0032089C" w:rsidP="0032089C">
      <w:pPr>
        <w:spacing w:after="0" w:line="240" w:lineRule="auto"/>
        <w:rPr>
          <w:b/>
        </w:rPr>
      </w:pPr>
      <w:r>
        <w:rPr>
          <w:b/>
        </w:rPr>
        <w:t>Se encontraron registradxs:</w:t>
      </w:r>
    </w:p>
    <w:p w14:paraId="273D768A" w14:textId="77777777" w:rsidR="0032089C" w:rsidRDefault="0032089C"/>
    <w:p w14:paraId="7BF95ABB" w14:textId="158146D3" w:rsidR="0032089C" w:rsidRPr="0032089C" w:rsidRDefault="004D625B" w:rsidP="0032089C">
      <w:pPr>
        <w:spacing w:after="0" w:line="240" w:lineRule="auto"/>
      </w:pPr>
      <w:r>
        <w:t xml:space="preserve">El </w:t>
      </w:r>
      <w:r w:rsidR="0032089C">
        <w:t>Anfitrió</w:t>
      </w:r>
      <w:r w:rsidR="0032089C" w:rsidRPr="0032089C">
        <w:t>n</w:t>
      </w:r>
      <w:r>
        <w:t xml:space="preserve"> representante de la sede organizadora</w:t>
      </w:r>
      <w:r w:rsidR="0032089C" w:rsidRPr="0032089C">
        <w:t>: Wilson Bigorena, Universidad de la Serena (Chile)</w:t>
      </w:r>
    </w:p>
    <w:p w14:paraId="281AA688" w14:textId="30F1F539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 xml:space="preserve">Romina Tártara, Universidad </w:t>
      </w:r>
      <w:r w:rsidR="00E52C10">
        <w:t>Nacional</w:t>
      </w:r>
      <w:r w:rsidRPr="0032089C">
        <w:t xml:space="preserve"> de Córdoba (Argentina)</w:t>
      </w:r>
    </w:p>
    <w:p w14:paraId="217366C8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Patricio Nadal, Universidad Nacional de Misiones (Argentina)</w:t>
      </w:r>
    </w:p>
    <w:p w14:paraId="633AC30C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Laura Torres, Universidad Nacional de Cuyo (Argentina)</w:t>
      </w:r>
    </w:p>
    <w:p w14:paraId="60598CA2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Cecilia Salgueiro, Universidad Provincial del Sudoeste (Argentina)</w:t>
      </w:r>
    </w:p>
    <w:p w14:paraId="6675048E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Claudio Buselli, Universidad Nacional de Tucumán (Argentina)</w:t>
      </w:r>
    </w:p>
    <w:p w14:paraId="323CB665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Javier Castillo, Universidad Nacional de Hurlingham (Argentina)</w:t>
      </w:r>
    </w:p>
    <w:p w14:paraId="5E2E0F5D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Alejandra Moreno, Universidad Nacional de San Juan (Argentina)</w:t>
      </w:r>
    </w:p>
    <w:p w14:paraId="28105859" w14:textId="51580D8A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Mercedes Ceciaga, Universidad Naciona</w:t>
      </w:r>
      <w:r w:rsidR="004D625B">
        <w:t>l</w:t>
      </w:r>
      <w:r w:rsidRPr="0032089C">
        <w:t xml:space="preserve"> de Rafaela (Argentina)</w:t>
      </w:r>
    </w:p>
    <w:p w14:paraId="161A27F3" w14:textId="6931BF33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Leda Barrionuevo y Dolor</w:t>
      </w:r>
      <w:r w:rsidR="004D625B">
        <w:t>es Del</w:t>
      </w:r>
      <w:r w:rsidRPr="0032089C">
        <w:t>ucci, Universidad de Buenos Aires (Argentina)</w:t>
      </w:r>
    </w:p>
    <w:p w14:paraId="047B520C" w14:textId="4D59695E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 xml:space="preserve">Orlando Ottaviano, Universidad </w:t>
      </w:r>
      <w:r w:rsidR="00E52C10">
        <w:t xml:space="preserve">Nacional </w:t>
      </w:r>
      <w:r w:rsidRPr="0032089C">
        <w:t>de Asunción (Paraguay)</w:t>
      </w:r>
    </w:p>
    <w:p w14:paraId="0A0755C1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Alejandro Barboza y Anibal Pautazzo, Universidad Nacional del Noroeste (Argentina)</w:t>
      </w:r>
    </w:p>
    <w:p w14:paraId="567173DA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Claudia Salinas, Universidad de Bio-Bio (Chile)</w:t>
      </w:r>
    </w:p>
    <w:p w14:paraId="59764883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Alejandro Valenzuela y Mario Barro Hernández, Universidad Autónoma de México (México)</w:t>
      </w:r>
    </w:p>
    <w:p w14:paraId="29C8AD05" w14:textId="3480EEDB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Pablo Ambrosi</w:t>
      </w:r>
      <w:r w:rsidR="004D625B">
        <w:t>n</w:t>
      </w:r>
      <w:r w:rsidRPr="0032089C">
        <w:t>o, Universidad de Villa María (Argentina)</w:t>
      </w:r>
    </w:p>
    <w:p w14:paraId="12A27415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Mónica Farkas y Sarita Echeverry, Universidad de la República (Uruguay)</w:t>
      </w:r>
    </w:p>
    <w:p w14:paraId="7D4C063E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Adriana Hipperdinger y Leandro Bustos, Universidad Nacional de Río Negro, (Argentina)</w:t>
      </w:r>
    </w:p>
    <w:p w14:paraId="689876B3" w14:textId="77777777" w:rsidR="0032089C" w:rsidRPr="0032089C" w:rsidRDefault="0032089C" w:rsidP="0032089C">
      <w:pPr>
        <w:pStyle w:val="ListParagraph"/>
        <w:numPr>
          <w:ilvl w:val="0"/>
          <w:numId w:val="2"/>
        </w:numPr>
        <w:spacing w:after="0" w:line="240" w:lineRule="auto"/>
      </w:pPr>
      <w:r w:rsidRPr="0032089C">
        <w:t>Lucrecia Piattelli, Universidad Nacional de Avellaneda (Argentina)</w:t>
      </w:r>
    </w:p>
    <w:p w14:paraId="3C0EACBC" w14:textId="1D256AF5" w:rsidR="0032089C" w:rsidRDefault="004D625B" w:rsidP="0032089C">
      <w:pPr>
        <w:pStyle w:val="ListParagraph"/>
        <w:numPr>
          <w:ilvl w:val="0"/>
          <w:numId w:val="2"/>
        </w:numPr>
        <w:spacing w:after="0" w:line="240" w:lineRule="auto"/>
      </w:pPr>
      <w:r>
        <w:t>Gonzálo Tellez</w:t>
      </w:r>
      <w:r w:rsidR="0032089C" w:rsidRPr="0032089C">
        <w:t xml:space="preserve">, Universidad de Cochabamba (Bolivia, </w:t>
      </w:r>
      <w:r w:rsidR="00516622">
        <w:t xml:space="preserve">realizó una breve </w:t>
      </w:r>
      <w:r w:rsidR="0032089C" w:rsidRPr="0032089C">
        <w:t xml:space="preserve">presentación y se </w:t>
      </w:r>
      <w:r w:rsidR="00516622">
        <w:t>disculpó para retirarse</w:t>
      </w:r>
      <w:r w:rsidR="0032089C" w:rsidRPr="0032089C">
        <w:t xml:space="preserve"> a</w:t>
      </w:r>
      <w:r w:rsidR="00516622">
        <w:t>l</w:t>
      </w:r>
      <w:r w:rsidR="0032089C" w:rsidRPr="0032089C">
        <w:t xml:space="preserve"> Foro Decanxs)</w:t>
      </w:r>
    </w:p>
    <w:p w14:paraId="1A057DDE" w14:textId="77777777" w:rsidR="0032089C" w:rsidRPr="0032089C" w:rsidRDefault="0032089C" w:rsidP="0032089C">
      <w:pPr>
        <w:pStyle w:val="ListParagraph"/>
        <w:spacing w:after="0" w:line="240" w:lineRule="auto"/>
      </w:pPr>
    </w:p>
    <w:p w14:paraId="5FBA71C2" w14:textId="72144246" w:rsidR="00E96B33" w:rsidRDefault="00E96B33">
      <w:pPr>
        <w:rPr>
          <w:b/>
        </w:rPr>
      </w:pPr>
      <w:r>
        <w:rPr>
          <w:b/>
        </w:rPr>
        <w:t xml:space="preserve">Se propone trabajar sobre el intercambio de experiencias a partir de la pandemia COVID-19 y la suspensión de </w:t>
      </w:r>
      <w:r w:rsidR="00E52C10">
        <w:rPr>
          <w:b/>
        </w:rPr>
        <w:t>clases presenciales en toda la r</w:t>
      </w:r>
      <w:r>
        <w:rPr>
          <w:b/>
        </w:rPr>
        <w:t>egión.</w:t>
      </w:r>
    </w:p>
    <w:p w14:paraId="0EAAFD97" w14:textId="32EDFACC" w:rsidR="00E96B33" w:rsidRPr="00E96B33" w:rsidRDefault="00E96B33" w:rsidP="0032089C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E96B33">
        <w:t xml:space="preserve">Puesta en común de </w:t>
      </w:r>
      <w:r w:rsidR="00D927B6">
        <w:t xml:space="preserve">los </w:t>
      </w:r>
      <w:r w:rsidRPr="00E96B33">
        <w:t xml:space="preserve">aspectos negativos y dificultades afrontadas en </w:t>
      </w:r>
      <w:r w:rsidR="00D927B6">
        <w:t xml:space="preserve">tiempos de </w:t>
      </w:r>
      <w:r w:rsidRPr="00E96B33">
        <w:t>pandemia</w:t>
      </w:r>
    </w:p>
    <w:p w14:paraId="50CF42BA" w14:textId="3A0C5A00" w:rsidR="00E96B33" w:rsidRPr="00E96B33" w:rsidRDefault="00E96B33" w:rsidP="0032089C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E96B33">
        <w:t>Estrategias académicas</w:t>
      </w:r>
      <w:r w:rsidR="004D625B">
        <w:t xml:space="preserve"> institucionales</w:t>
      </w:r>
    </w:p>
    <w:p w14:paraId="3A3FAE3D" w14:textId="77777777" w:rsidR="00E96B33" w:rsidRPr="0032089C" w:rsidRDefault="00E96B33" w:rsidP="0032089C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E96B33">
        <w:lastRenderedPageBreak/>
        <w:t>Aspectos positivos para proyectar nuevos escenarios</w:t>
      </w:r>
    </w:p>
    <w:p w14:paraId="380C3DBE" w14:textId="77777777" w:rsidR="0032089C" w:rsidRPr="00E5053D" w:rsidRDefault="0032089C">
      <w:pPr>
        <w:rPr>
          <w:b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4644"/>
        <w:gridCol w:w="4395"/>
        <w:gridCol w:w="4819"/>
      </w:tblGrid>
      <w:tr w:rsidR="0032089C" w:rsidRPr="0032089C" w14:paraId="28E420AB" w14:textId="77777777" w:rsidTr="0032089C">
        <w:tc>
          <w:tcPr>
            <w:tcW w:w="4644" w:type="dxa"/>
          </w:tcPr>
          <w:p w14:paraId="48A964DC" w14:textId="77777777" w:rsidR="00E96B33" w:rsidRPr="0032089C" w:rsidRDefault="00E96B33">
            <w:pPr>
              <w:rPr>
                <w:b/>
              </w:rPr>
            </w:pPr>
            <w:r w:rsidRPr="0032089C">
              <w:rPr>
                <w:b/>
              </w:rPr>
              <w:t>Dificultades y aspectos negativos relevados en pandemia</w:t>
            </w:r>
          </w:p>
        </w:tc>
        <w:tc>
          <w:tcPr>
            <w:tcW w:w="4395" w:type="dxa"/>
          </w:tcPr>
          <w:p w14:paraId="258F26A9" w14:textId="77777777" w:rsidR="00E96B33" w:rsidRPr="0032089C" w:rsidRDefault="00E96B33">
            <w:pPr>
              <w:rPr>
                <w:b/>
              </w:rPr>
            </w:pPr>
            <w:r w:rsidRPr="0032089C">
              <w:rPr>
                <w:b/>
              </w:rPr>
              <w:t xml:space="preserve">Estrategias </w:t>
            </w:r>
          </w:p>
        </w:tc>
        <w:tc>
          <w:tcPr>
            <w:tcW w:w="4819" w:type="dxa"/>
          </w:tcPr>
          <w:p w14:paraId="7FCAF9F5" w14:textId="77777777" w:rsidR="00E96B33" w:rsidRPr="0032089C" w:rsidRDefault="00E96B33">
            <w:pPr>
              <w:rPr>
                <w:b/>
              </w:rPr>
            </w:pPr>
            <w:r w:rsidRPr="0032089C">
              <w:rPr>
                <w:b/>
              </w:rPr>
              <w:t>Aspectos positivos para proyectar nuevos escenarios</w:t>
            </w:r>
          </w:p>
        </w:tc>
      </w:tr>
      <w:tr w:rsidR="0032089C" w14:paraId="70107A58" w14:textId="77777777" w:rsidTr="0032089C">
        <w:tc>
          <w:tcPr>
            <w:tcW w:w="4644" w:type="dxa"/>
          </w:tcPr>
          <w:p w14:paraId="52C612EB" w14:textId="77777777" w:rsidR="00E96B33" w:rsidRDefault="00E96B33">
            <w:r>
              <w:t>Problemas de acceso y conocimiento sobre las tecnologías de educación a distancia.</w:t>
            </w:r>
          </w:p>
        </w:tc>
        <w:tc>
          <w:tcPr>
            <w:tcW w:w="4395" w:type="dxa"/>
          </w:tcPr>
          <w:p w14:paraId="13D09033" w14:textId="4C9B4896" w:rsidR="00E96B33" w:rsidRDefault="00E96B33">
            <w:r>
              <w:t xml:space="preserve">Apoyo a la virtualización de contenidos y estrategias dinámicas, a través de comisiones creadas para tal fin, </w:t>
            </w:r>
            <w:r w:rsidR="00D927B6">
              <w:t xml:space="preserve">como el </w:t>
            </w:r>
            <w:r>
              <w:t>Programa de docentes guías y alumnos guías.</w:t>
            </w:r>
          </w:p>
        </w:tc>
        <w:tc>
          <w:tcPr>
            <w:tcW w:w="4819" w:type="dxa"/>
          </w:tcPr>
          <w:p w14:paraId="4338AB4D" w14:textId="54C48F9A" w:rsidR="00E96B33" w:rsidRDefault="00E96B33">
            <w:r>
              <w:t>Aprendizajes sobre las dinámicas de las nuevas tecnologías</w:t>
            </w:r>
            <w:r w:rsidR="00D927B6">
              <w:t>.</w:t>
            </w:r>
          </w:p>
        </w:tc>
      </w:tr>
      <w:tr w:rsidR="0032089C" w14:paraId="05B823B5" w14:textId="77777777" w:rsidTr="0032089C">
        <w:tc>
          <w:tcPr>
            <w:tcW w:w="4644" w:type="dxa"/>
          </w:tcPr>
          <w:p w14:paraId="433265D9" w14:textId="5DDDC66E" w:rsidR="00E96B33" w:rsidRDefault="00E96B33">
            <w:r>
              <w:t xml:space="preserve">Complejidades de la </w:t>
            </w:r>
            <w:r w:rsidR="00D927B6">
              <w:t>g</w:t>
            </w:r>
            <w:r>
              <w:t>estión académica en tiempos de pandemia: creación de protocolos para la digitalización de circuitos académicos-administrativos</w:t>
            </w:r>
            <w:r w:rsidR="00D927B6">
              <w:t>.</w:t>
            </w:r>
          </w:p>
        </w:tc>
        <w:tc>
          <w:tcPr>
            <w:tcW w:w="4395" w:type="dxa"/>
          </w:tcPr>
          <w:p w14:paraId="7F7A149D" w14:textId="78F5DB20" w:rsidR="00E96B33" w:rsidRDefault="00D927B6">
            <w:r>
              <w:t>La extensión universitaria</w:t>
            </w:r>
            <w:r w:rsidR="00E96B33">
              <w:t xml:space="preserve"> permitió reposicionar lxs profesionalxs del diseño, la ciencia y tecnología.</w:t>
            </w:r>
          </w:p>
        </w:tc>
        <w:tc>
          <w:tcPr>
            <w:tcW w:w="4819" w:type="dxa"/>
          </w:tcPr>
          <w:p w14:paraId="0975C2A0" w14:textId="77777777" w:rsidR="00E96B33" w:rsidRDefault="00E96B33">
            <w:r>
              <w:t>Se evidenciaron las oportunidad que brindan las tecnologías colaborativas para la construcción de conocimiento colectivo.</w:t>
            </w:r>
          </w:p>
        </w:tc>
      </w:tr>
      <w:tr w:rsidR="0032089C" w14:paraId="25C71542" w14:textId="77777777" w:rsidTr="0032089C">
        <w:tc>
          <w:tcPr>
            <w:tcW w:w="4644" w:type="dxa"/>
          </w:tcPr>
          <w:p w14:paraId="043E9759" w14:textId="60400877" w:rsidR="00E96B33" w:rsidRDefault="00E96B33" w:rsidP="00E96B33">
            <w:r>
              <w:t xml:space="preserve">Se pusieron en evidencia procesos de enseñanza proyectuales “tácitos” que se daban en los talleres a partir de acciones procedimentales que </w:t>
            </w:r>
            <w:r w:rsidR="00D927B6">
              <w:t>debieron</w:t>
            </w:r>
            <w:r>
              <w:t xml:space="preserve"> ser trabajadas de otr</w:t>
            </w:r>
            <w:r w:rsidR="00D927B6">
              <w:t>o modo para hacerlas explícitas.</w:t>
            </w:r>
          </w:p>
          <w:p w14:paraId="7040D479" w14:textId="77777777" w:rsidR="00E96B33" w:rsidRDefault="00E96B33"/>
        </w:tc>
        <w:tc>
          <w:tcPr>
            <w:tcW w:w="4395" w:type="dxa"/>
          </w:tcPr>
          <w:p w14:paraId="02240711" w14:textId="75636A00" w:rsidR="00E96B33" w:rsidRDefault="00E96B33">
            <w:r>
              <w:t xml:space="preserve">Se establecieron diferentes estrategias de </w:t>
            </w:r>
            <w:r w:rsidR="00D927B6">
              <w:t>contención y seguimiento de la c</w:t>
            </w:r>
            <w:r>
              <w:t>omunidad académica sobre todo hacia les estudiantes.</w:t>
            </w:r>
          </w:p>
        </w:tc>
        <w:tc>
          <w:tcPr>
            <w:tcW w:w="4819" w:type="dxa"/>
          </w:tcPr>
          <w:p w14:paraId="3B2FDA3D" w14:textId="77777777" w:rsidR="00E96B33" w:rsidRDefault="00E96B33" w:rsidP="00E96B33">
            <w:r>
              <w:t>Se abren nuevas oportunidades que brindan las tecnologías de divulgación y difusión de gran cantidad de conocimientos, de posibilidades de cursado de materias a distancia y posgrados.</w:t>
            </w:r>
          </w:p>
          <w:p w14:paraId="35D41F71" w14:textId="77777777" w:rsidR="00E96B33" w:rsidRDefault="00E96B33"/>
        </w:tc>
      </w:tr>
      <w:tr w:rsidR="0032089C" w14:paraId="56441263" w14:textId="77777777" w:rsidTr="0032089C">
        <w:tc>
          <w:tcPr>
            <w:tcW w:w="4644" w:type="dxa"/>
          </w:tcPr>
          <w:p w14:paraId="61874B55" w14:textId="04BC9110" w:rsidR="00E96B33" w:rsidRDefault="00E96B33">
            <w:r>
              <w:t>Se observaron resistencias a estos procesos de transformación por parte de docentes y estudiantes.</w:t>
            </w:r>
          </w:p>
        </w:tc>
        <w:tc>
          <w:tcPr>
            <w:tcW w:w="4395" w:type="dxa"/>
          </w:tcPr>
          <w:p w14:paraId="1E61EB3A" w14:textId="77777777" w:rsidR="00E96B33" w:rsidRDefault="00E96B33">
            <w:r>
              <w:t>Trabajar por objetivos y reducción de contenidos curriculares.</w:t>
            </w:r>
          </w:p>
        </w:tc>
        <w:tc>
          <w:tcPr>
            <w:tcW w:w="4819" w:type="dxa"/>
          </w:tcPr>
          <w:p w14:paraId="2D89C067" w14:textId="77777777" w:rsidR="007A3986" w:rsidRPr="007A3986" w:rsidRDefault="00E96B33" w:rsidP="007A3986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>
              <w:t xml:space="preserve">Intercambios académicos latinoamericanos, </w:t>
            </w:r>
            <w:r w:rsidR="007A3986">
              <w:t xml:space="preserve">como el organizado por la UDUAL: </w:t>
            </w:r>
            <w:r w:rsidR="007A3986" w:rsidRPr="0032089C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es-ES_tradnl"/>
              </w:rPr>
              <w:t>Subprograma Latinoamericano de Intercambio Virtual 2020</w:t>
            </w:r>
          </w:p>
          <w:p w14:paraId="18A6E8F7" w14:textId="77777777" w:rsidR="00E96B33" w:rsidRDefault="00E96B33" w:rsidP="007A3986"/>
        </w:tc>
      </w:tr>
      <w:tr w:rsidR="0032089C" w14:paraId="7B030D1E" w14:textId="77777777" w:rsidTr="0032089C">
        <w:tc>
          <w:tcPr>
            <w:tcW w:w="4644" w:type="dxa"/>
          </w:tcPr>
          <w:p w14:paraId="0C8244D2" w14:textId="5115CE61" w:rsidR="00E96B33" w:rsidRDefault="00E96B33">
            <w:r>
              <w:t>Diversidad de estructuras institucionales, tamaños, escalas y territorios que proponen diferentes formas de trabajar en este contexto</w:t>
            </w:r>
            <w:r w:rsidR="00D927B6">
              <w:t>.</w:t>
            </w:r>
          </w:p>
        </w:tc>
        <w:tc>
          <w:tcPr>
            <w:tcW w:w="4395" w:type="dxa"/>
          </w:tcPr>
          <w:p w14:paraId="7C96F27E" w14:textId="77777777" w:rsidR="00E96B33" w:rsidRDefault="00E96B33">
            <w:r>
              <w:t>Reconfiguración de calendarios académicos y las clases presenciales.</w:t>
            </w:r>
          </w:p>
        </w:tc>
        <w:tc>
          <w:tcPr>
            <w:tcW w:w="4819" w:type="dxa"/>
          </w:tcPr>
          <w:p w14:paraId="45E1D38B" w14:textId="77777777" w:rsidR="00E96B33" w:rsidRDefault="007A3986" w:rsidP="007A3986">
            <w:r>
              <w:t>La nueva dinámica online resulta muy beneficiosa para algunas materias como las teóricas y se evidencia en el indicador de inscripción y aprobación de las mismas.</w:t>
            </w:r>
          </w:p>
          <w:p w14:paraId="037D5A6F" w14:textId="77777777" w:rsidR="007A3986" w:rsidRDefault="007A3986" w:rsidP="007A3986">
            <w:r>
              <w:t>Resultados mayores a otros períodos lectivos.</w:t>
            </w:r>
          </w:p>
        </w:tc>
      </w:tr>
      <w:tr w:rsidR="0032089C" w14:paraId="22F34D27" w14:textId="77777777" w:rsidTr="0032089C">
        <w:tc>
          <w:tcPr>
            <w:tcW w:w="4644" w:type="dxa"/>
          </w:tcPr>
          <w:p w14:paraId="3F1B2BF6" w14:textId="77777777" w:rsidR="00E96B33" w:rsidRDefault="00E96B33" w:rsidP="00E96B33">
            <w:r>
              <w:t>Desigualdad de estudiantes al acceso a la tecnología y herramientas personales para continuar sus estudios.</w:t>
            </w:r>
          </w:p>
        </w:tc>
        <w:tc>
          <w:tcPr>
            <w:tcW w:w="4395" w:type="dxa"/>
          </w:tcPr>
          <w:p w14:paraId="10726425" w14:textId="77777777" w:rsidR="00E96B33" w:rsidRDefault="007A3986">
            <w:r>
              <w:t>Admisión de altas de regularidad y recurperación de estudiantes que dejaron las carreras en años anteriores.</w:t>
            </w:r>
          </w:p>
        </w:tc>
        <w:tc>
          <w:tcPr>
            <w:tcW w:w="4819" w:type="dxa"/>
          </w:tcPr>
          <w:p w14:paraId="0F78A8E0" w14:textId="77777777" w:rsidR="00E96B33" w:rsidRDefault="007A3986">
            <w:r>
              <w:t>Proceso de aprendizaje en conjunto entre docentes y estudiantes.</w:t>
            </w:r>
          </w:p>
        </w:tc>
      </w:tr>
      <w:tr w:rsidR="0032089C" w14:paraId="1FA80006" w14:textId="77777777" w:rsidTr="0032089C">
        <w:tc>
          <w:tcPr>
            <w:tcW w:w="4644" w:type="dxa"/>
          </w:tcPr>
          <w:p w14:paraId="6AE39859" w14:textId="77777777" w:rsidR="007A3986" w:rsidRDefault="007A3986" w:rsidP="00E96B33">
            <w:r>
              <w:lastRenderedPageBreak/>
              <w:t>Demandas de estudiantes en cantidades de materiales y en tiempos de entrega.</w:t>
            </w:r>
          </w:p>
        </w:tc>
        <w:tc>
          <w:tcPr>
            <w:tcW w:w="4395" w:type="dxa"/>
          </w:tcPr>
          <w:p w14:paraId="38587D9A" w14:textId="77777777" w:rsidR="007A3986" w:rsidRDefault="007A3986">
            <w:r>
              <w:t>Se ajustaron costos de entregas y trabajos, tiempos, y dinámicas necesarias para dar mayor flexibilidad.</w:t>
            </w:r>
          </w:p>
        </w:tc>
        <w:tc>
          <w:tcPr>
            <w:tcW w:w="4819" w:type="dxa"/>
          </w:tcPr>
          <w:p w14:paraId="35D74CBF" w14:textId="77777777" w:rsidR="007A3986" w:rsidRDefault="007A3986">
            <w:r>
              <w:t>La relación con los estudiantes se verifica que fue muy buena. Las herramientas virtuales permitieron un seguimiento más individual de sus procesos de aprendizaje.</w:t>
            </w:r>
          </w:p>
        </w:tc>
      </w:tr>
      <w:tr w:rsidR="0032089C" w14:paraId="7989E39F" w14:textId="77777777" w:rsidTr="0032089C">
        <w:tc>
          <w:tcPr>
            <w:tcW w:w="4644" w:type="dxa"/>
          </w:tcPr>
          <w:p w14:paraId="0B15A858" w14:textId="77777777" w:rsidR="007A3986" w:rsidRDefault="007A3986" w:rsidP="00E96B33">
            <w:r>
              <w:t>Grupos enteros de estudiantes que no encienden cámaras para evitar el contacto visual.</w:t>
            </w:r>
          </w:p>
        </w:tc>
        <w:tc>
          <w:tcPr>
            <w:tcW w:w="4395" w:type="dxa"/>
          </w:tcPr>
          <w:p w14:paraId="58E7FA5B" w14:textId="7F32A3D8" w:rsidR="007A3986" w:rsidRDefault="007A3986">
            <w:r>
              <w:t>T</w:t>
            </w:r>
            <w:r w:rsidR="00D927B6">
              <w:t>rabajo con t</w:t>
            </w:r>
            <w:r>
              <w:t>aller de portafolios y tributo a proyectos colectivos</w:t>
            </w:r>
            <w:r w:rsidR="00D927B6">
              <w:t>.</w:t>
            </w:r>
          </w:p>
        </w:tc>
        <w:tc>
          <w:tcPr>
            <w:tcW w:w="4819" w:type="dxa"/>
          </w:tcPr>
          <w:p w14:paraId="567C4C59" w14:textId="2D54C778" w:rsidR="007A3986" w:rsidRDefault="00A24D1B">
            <w:r>
              <w:t xml:space="preserve">Modelo híbrido que intercale presencialidad con virtualidad, que se puedan ofrecer alternativas de cátedras en la virtualidad y otras en la presencialidad, áreas tranversales como los idiomas puedan cursarse de manera virtual, cursos de formación  docente como por ejemplo en argentina </w:t>
            </w:r>
            <w:r w:rsidR="00487776">
              <w:t xml:space="preserve">el de </w:t>
            </w:r>
            <w:bookmarkStart w:id="0" w:name="_GoBack"/>
            <w:bookmarkEnd w:id="0"/>
            <w:r>
              <w:t>Ley Micaela.</w:t>
            </w:r>
          </w:p>
        </w:tc>
      </w:tr>
    </w:tbl>
    <w:p w14:paraId="39EE3D2E" w14:textId="77777777" w:rsidR="00E5053D" w:rsidRDefault="00E5053D"/>
    <w:p w14:paraId="03ADCF47" w14:textId="77777777" w:rsidR="00641306" w:rsidRDefault="00641306" w:rsidP="00E96B33"/>
    <w:p w14:paraId="3DF587CC" w14:textId="77777777" w:rsidR="00E5053D" w:rsidRDefault="00E5053D"/>
    <w:p w14:paraId="0F676F02" w14:textId="77777777" w:rsidR="00392EB1" w:rsidRDefault="00392EB1"/>
    <w:sectPr w:rsidR="00392EB1" w:rsidSect="0032089C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90C"/>
    <w:multiLevelType w:val="hybridMultilevel"/>
    <w:tmpl w:val="6254CAF8"/>
    <w:lvl w:ilvl="0" w:tplc="85C411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8148A"/>
    <w:multiLevelType w:val="hybridMultilevel"/>
    <w:tmpl w:val="4F7CB34C"/>
    <w:lvl w:ilvl="0" w:tplc="D96CB9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06"/>
    <w:rsid w:val="002426CE"/>
    <w:rsid w:val="0032089C"/>
    <w:rsid w:val="00392EB1"/>
    <w:rsid w:val="00487776"/>
    <w:rsid w:val="004D625B"/>
    <w:rsid w:val="00516622"/>
    <w:rsid w:val="00544ECF"/>
    <w:rsid w:val="00641306"/>
    <w:rsid w:val="007A3986"/>
    <w:rsid w:val="00A24D1B"/>
    <w:rsid w:val="00D927B6"/>
    <w:rsid w:val="00E5053D"/>
    <w:rsid w:val="00E52C10"/>
    <w:rsid w:val="00E96B33"/>
    <w:rsid w:val="00F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78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750</Words>
  <Characters>4279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</dc:creator>
  <cp:lastModifiedBy>Lucrecia Piattelli</cp:lastModifiedBy>
  <cp:revision>6</cp:revision>
  <dcterms:created xsi:type="dcterms:W3CDTF">2020-09-22T17:49:00Z</dcterms:created>
  <dcterms:modified xsi:type="dcterms:W3CDTF">2020-09-25T23:06:00Z</dcterms:modified>
</cp:coreProperties>
</file>