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7F" w:rsidRPr="00882A04" w:rsidRDefault="00AC0B7F" w:rsidP="00AC0B7F">
      <w:pPr>
        <w:jc w:val="both"/>
        <w:rPr>
          <w:rFonts w:ascii="Verdana" w:hAnsi="Verdana" w:cs="Arial"/>
          <w:sz w:val="22"/>
          <w:szCs w:val="22"/>
          <w:lang w:val="es-AR"/>
        </w:rPr>
      </w:pPr>
      <w:r w:rsidRPr="00882A04">
        <w:rPr>
          <w:rFonts w:ascii="Verdana" w:hAnsi="Verdana" w:cs="Arial"/>
          <w:sz w:val="22"/>
          <w:szCs w:val="22"/>
          <w:lang w:val="es-AR"/>
        </w:rPr>
        <w:br w:type="textWrapping" w:clear="all"/>
      </w:r>
    </w:p>
    <w:p w:rsidR="00AC0B7F" w:rsidRPr="00882A04" w:rsidRDefault="00AC0B7F" w:rsidP="00AC0B7F">
      <w:pPr>
        <w:jc w:val="both"/>
        <w:rPr>
          <w:rFonts w:ascii="Verdana" w:hAnsi="Verdana" w:cs="Arial"/>
          <w:sz w:val="22"/>
          <w:szCs w:val="22"/>
          <w:lang w:val="es-AR"/>
        </w:rPr>
      </w:pPr>
    </w:p>
    <w:p w:rsidR="00AC0B7F" w:rsidRPr="00882A04" w:rsidRDefault="00AC0B7F" w:rsidP="00882A04">
      <w:pPr>
        <w:pStyle w:val="Ttulo3"/>
        <w:tabs>
          <w:tab w:val="left" w:pos="0"/>
        </w:tabs>
        <w:spacing w:before="80" w:line="276" w:lineRule="auto"/>
        <w:rPr>
          <w:rFonts w:ascii="Verdana" w:hAnsi="Verdana"/>
          <w:spacing w:val="24"/>
          <w:sz w:val="22"/>
          <w:szCs w:val="22"/>
        </w:rPr>
      </w:pPr>
      <w:r w:rsidRPr="00882A04">
        <w:rPr>
          <w:rFonts w:ascii="Verdana" w:hAnsi="Verdana"/>
          <w:spacing w:val="24"/>
          <w:sz w:val="22"/>
          <w:szCs w:val="22"/>
        </w:rPr>
        <w:t>Seminario  de Posgrado</w:t>
      </w:r>
    </w:p>
    <w:p w:rsidR="00882A04" w:rsidRPr="00882A04" w:rsidRDefault="00882A04" w:rsidP="00882A04">
      <w:pPr>
        <w:spacing w:line="276" w:lineRule="auto"/>
        <w:rPr>
          <w:rFonts w:ascii="Verdana" w:hAnsi="Verdana"/>
          <w:b/>
          <w:sz w:val="22"/>
          <w:szCs w:val="22"/>
          <w:lang w:val="es-AR"/>
        </w:rPr>
      </w:pPr>
      <w:r w:rsidRPr="00882A04">
        <w:rPr>
          <w:rFonts w:ascii="Verdana" w:hAnsi="Verdana" w:cs="Arial"/>
          <w:b/>
          <w:color w:val="26282A"/>
          <w:sz w:val="22"/>
          <w:szCs w:val="22"/>
          <w:lang w:eastAsia="es-ES"/>
        </w:rPr>
        <w:t>Secretaría de Posgrado</w:t>
      </w:r>
    </w:p>
    <w:p w:rsidR="00AC0B7F" w:rsidRPr="00882A04" w:rsidRDefault="00AC0B7F" w:rsidP="00882A04">
      <w:pPr>
        <w:pStyle w:val="Ttulo3"/>
        <w:tabs>
          <w:tab w:val="left" w:pos="0"/>
        </w:tabs>
        <w:spacing w:before="80" w:line="276" w:lineRule="auto"/>
        <w:rPr>
          <w:rFonts w:ascii="Verdana" w:hAnsi="Verdana"/>
          <w:spacing w:val="24"/>
          <w:sz w:val="22"/>
          <w:szCs w:val="22"/>
        </w:rPr>
      </w:pPr>
      <w:r w:rsidRPr="00882A04">
        <w:rPr>
          <w:rFonts w:ascii="Verdana" w:hAnsi="Verdana"/>
          <w:spacing w:val="24"/>
          <w:sz w:val="22"/>
          <w:szCs w:val="22"/>
        </w:rPr>
        <w:t>Facultad de Arte</w:t>
      </w:r>
      <w:r w:rsidR="00425109" w:rsidRPr="00882A04">
        <w:rPr>
          <w:rFonts w:ascii="Verdana" w:hAnsi="Verdana"/>
          <w:spacing w:val="24"/>
          <w:sz w:val="22"/>
          <w:szCs w:val="22"/>
        </w:rPr>
        <w:t>s</w:t>
      </w:r>
    </w:p>
    <w:p w:rsidR="00AC0B7F" w:rsidRPr="00882A04" w:rsidRDefault="00AC0B7F" w:rsidP="00882A04">
      <w:pPr>
        <w:pStyle w:val="Ttulo3"/>
        <w:tabs>
          <w:tab w:val="left" w:pos="0"/>
        </w:tabs>
        <w:spacing w:before="80" w:line="276" w:lineRule="auto"/>
        <w:rPr>
          <w:rFonts w:ascii="Verdana" w:hAnsi="Verdana"/>
          <w:spacing w:val="24"/>
          <w:sz w:val="22"/>
          <w:szCs w:val="22"/>
        </w:rPr>
      </w:pPr>
      <w:r w:rsidRPr="00882A04">
        <w:rPr>
          <w:rFonts w:ascii="Verdana" w:hAnsi="Verdana"/>
          <w:spacing w:val="24"/>
          <w:sz w:val="22"/>
          <w:szCs w:val="22"/>
        </w:rPr>
        <w:t>Universidad Nacional de Tucumán</w:t>
      </w:r>
    </w:p>
    <w:p w:rsidR="00C7106E" w:rsidRDefault="006A7A7D" w:rsidP="00882A04">
      <w:pPr>
        <w:pStyle w:val="Ttulo3"/>
        <w:tabs>
          <w:tab w:val="left" w:pos="0"/>
        </w:tabs>
        <w:spacing w:before="80" w:line="276" w:lineRule="auto"/>
        <w:rPr>
          <w:rFonts w:ascii="Verdana" w:hAnsi="Verdana"/>
          <w:spacing w:val="24"/>
          <w:sz w:val="22"/>
          <w:szCs w:val="22"/>
        </w:rPr>
      </w:pPr>
      <w:r>
        <w:rPr>
          <w:rFonts w:ascii="Verdana" w:hAnsi="Verdana"/>
          <w:spacing w:val="24"/>
          <w:sz w:val="22"/>
          <w:szCs w:val="22"/>
        </w:rPr>
        <w:t>Lunes 8</w:t>
      </w:r>
      <w:r w:rsidR="009F530E" w:rsidRPr="00882A04">
        <w:rPr>
          <w:rFonts w:ascii="Verdana" w:hAnsi="Verdana"/>
          <w:spacing w:val="24"/>
          <w:sz w:val="22"/>
          <w:szCs w:val="22"/>
        </w:rPr>
        <w:t xml:space="preserve">, </w:t>
      </w:r>
      <w:r>
        <w:rPr>
          <w:rFonts w:ascii="Verdana" w:hAnsi="Verdana"/>
          <w:spacing w:val="24"/>
          <w:sz w:val="22"/>
          <w:szCs w:val="22"/>
        </w:rPr>
        <w:t>martes9, miércoles 10, jueves 11</w:t>
      </w:r>
      <w:r w:rsidR="009F530E" w:rsidRPr="00882A04">
        <w:rPr>
          <w:rFonts w:ascii="Verdana" w:hAnsi="Verdana"/>
          <w:spacing w:val="24"/>
          <w:sz w:val="22"/>
          <w:szCs w:val="22"/>
        </w:rPr>
        <w:t xml:space="preserve"> y viernes </w:t>
      </w:r>
      <w:r>
        <w:rPr>
          <w:rFonts w:ascii="Verdana" w:hAnsi="Verdana"/>
          <w:spacing w:val="24"/>
          <w:sz w:val="22"/>
          <w:szCs w:val="22"/>
        </w:rPr>
        <w:t>12 de junio</w:t>
      </w:r>
      <w:r w:rsidR="00975C34" w:rsidRPr="00882A04">
        <w:rPr>
          <w:rFonts w:ascii="Verdana" w:hAnsi="Verdana"/>
          <w:spacing w:val="24"/>
          <w:sz w:val="22"/>
          <w:szCs w:val="22"/>
        </w:rPr>
        <w:t xml:space="preserve"> de 2020</w:t>
      </w:r>
    </w:p>
    <w:p w:rsidR="006A7A7D" w:rsidRPr="006A7A7D" w:rsidRDefault="006A7A7D" w:rsidP="006A7A7D">
      <w:pPr>
        <w:rPr>
          <w:lang w:val="es-AR"/>
        </w:rPr>
      </w:pPr>
    </w:p>
    <w:p w:rsidR="00882A04" w:rsidRPr="00882A04" w:rsidRDefault="00882A04" w:rsidP="00882A04">
      <w:pPr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AC0B7F" w:rsidRPr="00882A04" w:rsidRDefault="00AC0B7F" w:rsidP="00882A04">
      <w:pPr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882A04">
        <w:rPr>
          <w:rFonts w:ascii="Verdana" w:hAnsi="Verdana" w:cs="Arial"/>
          <w:b/>
          <w:sz w:val="22"/>
          <w:szCs w:val="22"/>
        </w:rPr>
        <w:t>REPETICIÓN, ESTEREOTIPOS E INTERSTICIOS EN EL EGIPTO FARAÓNICO</w:t>
      </w:r>
    </w:p>
    <w:p w:rsidR="00AC0B7F" w:rsidRPr="00882A04" w:rsidRDefault="00AC0B7F" w:rsidP="00882A04">
      <w:pPr>
        <w:pStyle w:val="Ttulo1"/>
        <w:pBdr>
          <w:bottom w:val="single" w:sz="8" w:space="1" w:color="000000"/>
        </w:pBdr>
        <w:tabs>
          <w:tab w:val="left" w:pos="0"/>
        </w:tabs>
        <w:spacing w:before="80" w:after="80" w:line="276" w:lineRule="auto"/>
        <w:jc w:val="center"/>
        <w:rPr>
          <w:rFonts w:ascii="Verdana" w:hAnsi="Verdana"/>
          <w:bCs w:val="0"/>
          <w:spacing w:val="24"/>
          <w:sz w:val="22"/>
          <w:szCs w:val="22"/>
        </w:rPr>
      </w:pPr>
      <w:r w:rsidRPr="00882A04">
        <w:rPr>
          <w:rFonts w:ascii="Verdana" w:hAnsi="Verdana"/>
          <w:bCs w:val="0"/>
          <w:sz w:val="22"/>
          <w:szCs w:val="22"/>
        </w:rPr>
        <w:t>INTERPRETACIONES SOBRE LA CULTURA Y LA SOCIEDAD</w:t>
      </w:r>
    </w:p>
    <w:p w:rsidR="00AC0B7F" w:rsidRPr="00882A04" w:rsidRDefault="00AC0B7F" w:rsidP="00AC0B7F">
      <w:pPr>
        <w:pStyle w:val="Ttulo1"/>
        <w:numPr>
          <w:ilvl w:val="0"/>
          <w:numId w:val="0"/>
        </w:numPr>
        <w:pBdr>
          <w:bottom w:val="single" w:sz="8" w:space="1" w:color="000000"/>
        </w:pBdr>
        <w:spacing w:before="80" w:after="80" w:line="360" w:lineRule="auto"/>
        <w:rPr>
          <w:rFonts w:ascii="Verdana" w:hAnsi="Verdana"/>
          <w:b w:val="0"/>
          <w:bCs w:val="0"/>
          <w:color w:val="FF0000"/>
          <w:sz w:val="22"/>
          <w:szCs w:val="22"/>
        </w:rPr>
      </w:pPr>
    </w:p>
    <w:p w:rsidR="00AC0B7F" w:rsidRPr="00882A04" w:rsidRDefault="00AC0B7F" w:rsidP="00AC0B7F">
      <w:pPr>
        <w:rPr>
          <w:rFonts w:ascii="Verdana" w:hAnsi="Verdana"/>
          <w:sz w:val="22"/>
          <w:szCs w:val="22"/>
          <w:lang w:val="es-AR"/>
        </w:rPr>
      </w:pPr>
    </w:p>
    <w:p w:rsidR="00AC0B7F" w:rsidRPr="00882A04" w:rsidRDefault="00AC0B7F" w:rsidP="00AC0B7F">
      <w:pPr>
        <w:spacing w:after="80"/>
        <w:ind w:left="2835" w:right="17" w:hanging="2835"/>
        <w:jc w:val="both"/>
        <w:rPr>
          <w:rFonts w:ascii="Verdana" w:hAnsi="Verdana" w:cs="Arial"/>
          <w:sz w:val="22"/>
          <w:szCs w:val="22"/>
          <w:lang w:val="es-AR"/>
        </w:rPr>
      </w:pPr>
      <w:r w:rsidRPr="00882A04">
        <w:rPr>
          <w:rFonts w:ascii="Verdana" w:hAnsi="Verdana" w:cs="Arial"/>
          <w:iCs/>
          <w:sz w:val="22"/>
          <w:szCs w:val="22"/>
        </w:rPr>
        <w:t>Profesor</w:t>
      </w:r>
      <w:r w:rsidR="00975C34" w:rsidRPr="00882A04">
        <w:rPr>
          <w:rFonts w:ascii="Verdana" w:hAnsi="Verdana" w:cs="Arial"/>
          <w:iCs/>
          <w:sz w:val="22"/>
          <w:szCs w:val="22"/>
        </w:rPr>
        <w:t>a</w:t>
      </w:r>
      <w:r w:rsidRPr="00882A04">
        <w:rPr>
          <w:rFonts w:ascii="Verdana" w:hAnsi="Verdana" w:cs="Arial"/>
          <w:iCs/>
          <w:sz w:val="22"/>
          <w:szCs w:val="22"/>
        </w:rPr>
        <w:t xml:space="preserve"> a cargo:</w:t>
      </w:r>
      <w:r w:rsidR="00975C34" w:rsidRPr="00882A04">
        <w:rPr>
          <w:rFonts w:ascii="Verdana" w:hAnsi="Verdana" w:cs="Arial"/>
          <w:sz w:val="22"/>
          <w:szCs w:val="22"/>
        </w:rPr>
        <w:tab/>
        <w:t>Prof</w:t>
      </w:r>
      <w:r w:rsidRPr="00882A04">
        <w:rPr>
          <w:rFonts w:ascii="Verdana" w:hAnsi="Verdana" w:cs="Arial"/>
          <w:sz w:val="22"/>
          <w:szCs w:val="22"/>
        </w:rPr>
        <w:t xml:space="preserve">. </w:t>
      </w:r>
      <w:r w:rsidRPr="00882A04">
        <w:rPr>
          <w:rFonts w:ascii="Verdana" w:hAnsi="Verdana" w:cs="Arial"/>
          <w:sz w:val="22"/>
          <w:szCs w:val="22"/>
          <w:lang w:val="es-AR"/>
        </w:rPr>
        <w:t xml:space="preserve">Andrea Zingarelli </w:t>
      </w:r>
    </w:p>
    <w:p w:rsidR="00975C34" w:rsidRPr="00882A04" w:rsidRDefault="00975C34" w:rsidP="00AC0B7F">
      <w:pPr>
        <w:spacing w:after="80"/>
        <w:ind w:left="2835" w:right="17" w:hanging="2835"/>
        <w:jc w:val="both"/>
        <w:rPr>
          <w:rFonts w:ascii="Verdana" w:hAnsi="Verdana" w:cs="Arial"/>
          <w:sz w:val="22"/>
          <w:szCs w:val="22"/>
          <w:lang w:val="es-AR"/>
        </w:rPr>
      </w:pPr>
      <w:r w:rsidRPr="00882A04">
        <w:rPr>
          <w:rFonts w:ascii="Verdana" w:hAnsi="Verdana" w:cs="Arial"/>
          <w:iCs/>
          <w:sz w:val="22"/>
          <w:szCs w:val="22"/>
        </w:rPr>
        <w:t>Coordinadora académica:</w:t>
      </w:r>
      <w:r w:rsidRPr="00882A04">
        <w:rPr>
          <w:rFonts w:ascii="Verdana" w:hAnsi="Verdana" w:cs="Arial"/>
          <w:sz w:val="22"/>
          <w:szCs w:val="22"/>
          <w:lang w:val="es-AR"/>
        </w:rPr>
        <w:t xml:space="preserve">    Prof. Silvina Vera</w:t>
      </w:r>
      <w:r w:rsidR="00374471">
        <w:rPr>
          <w:rFonts w:ascii="Verdana" w:hAnsi="Verdana" w:cs="Arial"/>
          <w:sz w:val="22"/>
          <w:szCs w:val="22"/>
          <w:lang w:val="es-AR"/>
        </w:rPr>
        <w:t xml:space="preserve"> (</w:t>
      </w:r>
      <w:r w:rsidR="006A7A7D">
        <w:rPr>
          <w:rFonts w:ascii="Verdana" w:hAnsi="Verdana" w:cs="Arial"/>
          <w:sz w:val="22"/>
          <w:szCs w:val="22"/>
          <w:lang w:val="es-AR"/>
        </w:rPr>
        <w:t>Prof. Asociado</w:t>
      </w:r>
      <w:r w:rsidR="00963CED">
        <w:rPr>
          <w:rFonts w:ascii="Verdana" w:hAnsi="Verdana" w:cs="Arial"/>
          <w:sz w:val="22"/>
          <w:szCs w:val="22"/>
          <w:lang w:val="es-AR"/>
        </w:rPr>
        <w:t>. Historia de</w:t>
      </w:r>
      <w:r w:rsidR="006A7A7D">
        <w:rPr>
          <w:rFonts w:ascii="Verdana" w:hAnsi="Verdana" w:cs="Arial"/>
          <w:sz w:val="22"/>
          <w:szCs w:val="22"/>
          <w:lang w:val="es-AR"/>
        </w:rPr>
        <w:t>l Arte Antiguo de la  Lic. en Artes Visuales</w:t>
      </w:r>
      <w:r w:rsidR="00963CED">
        <w:rPr>
          <w:rFonts w:ascii="Verdana" w:hAnsi="Verdana" w:cs="Arial"/>
          <w:sz w:val="22"/>
          <w:szCs w:val="22"/>
          <w:lang w:val="es-AR"/>
        </w:rPr>
        <w:t>).</w:t>
      </w:r>
    </w:p>
    <w:p w:rsidR="00AC0B7F" w:rsidRPr="00882A04" w:rsidRDefault="00AC0B7F" w:rsidP="00AC0B7F">
      <w:pPr>
        <w:ind w:left="2342" w:right="17" w:hanging="2342"/>
        <w:jc w:val="both"/>
        <w:rPr>
          <w:rFonts w:ascii="Verdana" w:hAnsi="Verdana" w:cs="Arial"/>
          <w:sz w:val="22"/>
          <w:szCs w:val="22"/>
          <w:lang w:val="es-AR"/>
        </w:rPr>
      </w:pPr>
    </w:p>
    <w:p w:rsidR="00AC0B7F" w:rsidRPr="00882A04" w:rsidRDefault="00AC0B7F" w:rsidP="00425109">
      <w:pPr>
        <w:spacing w:after="80"/>
        <w:ind w:left="2835" w:right="17" w:hanging="2835"/>
        <w:jc w:val="both"/>
        <w:rPr>
          <w:rFonts w:ascii="Verdana" w:hAnsi="Verdana" w:cs="Arial"/>
          <w:color w:val="FF0000"/>
          <w:sz w:val="22"/>
          <w:szCs w:val="22"/>
          <w:lang w:val="es-AR"/>
        </w:rPr>
      </w:pPr>
      <w:r w:rsidRPr="00882A04">
        <w:rPr>
          <w:rFonts w:ascii="Verdana" w:hAnsi="Verdana" w:cs="Arial"/>
          <w:sz w:val="22"/>
          <w:szCs w:val="22"/>
          <w:lang w:val="es-AR"/>
        </w:rPr>
        <w:t>Carga horaria:</w:t>
      </w:r>
      <w:r w:rsidR="006A7A7D">
        <w:rPr>
          <w:rFonts w:ascii="Verdana" w:hAnsi="Verdana" w:cs="Arial"/>
          <w:sz w:val="22"/>
          <w:szCs w:val="22"/>
        </w:rPr>
        <w:t xml:space="preserve"> </w:t>
      </w:r>
      <w:r w:rsidR="00425109" w:rsidRPr="00882A04">
        <w:rPr>
          <w:rFonts w:ascii="Verdana" w:hAnsi="Verdana" w:cs="Arial"/>
          <w:sz w:val="22"/>
          <w:szCs w:val="22"/>
        </w:rPr>
        <w:t>5</w:t>
      </w:r>
      <w:r w:rsidRPr="00882A04">
        <w:rPr>
          <w:rFonts w:ascii="Verdana" w:hAnsi="Verdana" w:cs="Arial"/>
          <w:sz w:val="22"/>
          <w:szCs w:val="22"/>
        </w:rPr>
        <w:t>0</w:t>
      </w:r>
      <w:r w:rsidRPr="00882A04">
        <w:rPr>
          <w:rFonts w:ascii="Verdana" w:hAnsi="Verdana" w:cs="Arial"/>
          <w:sz w:val="22"/>
          <w:szCs w:val="22"/>
          <w:lang w:val="es-AR"/>
        </w:rPr>
        <w:t xml:space="preserve"> horas </w:t>
      </w:r>
    </w:p>
    <w:p w:rsidR="00975C34" w:rsidRPr="00882A04" w:rsidRDefault="00975C34" w:rsidP="00AC0B7F">
      <w:pPr>
        <w:spacing w:after="80"/>
        <w:ind w:left="2342" w:right="17" w:hanging="2342"/>
        <w:jc w:val="both"/>
        <w:rPr>
          <w:rFonts w:ascii="Verdana" w:hAnsi="Verdana" w:cs="Arial"/>
          <w:color w:val="26282A"/>
          <w:sz w:val="22"/>
          <w:szCs w:val="22"/>
          <w:lang w:eastAsia="es-ES"/>
        </w:rPr>
      </w:pPr>
    </w:p>
    <w:p w:rsidR="00975C34" w:rsidRPr="00882A04" w:rsidRDefault="00975C34" w:rsidP="00975C34">
      <w:pPr>
        <w:suppressAutoHyphens w:val="0"/>
        <w:spacing w:before="120"/>
        <w:jc w:val="both"/>
        <w:rPr>
          <w:rFonts w:ascii="Verdana" w:hAnsi="Verdana" w:cs="Arial"/>
          <w:bCs/>
          <w:color w:val="26282A"/>
          <w:sz w:val="22"/>
          <w:szCs w:val="22"/>
          <w:lang w:eastAsia="es-ES"/>
        </w:rPr>
      </w:pPr>
      <w:r w:rsidRPr="00882A04">
        <w:rPr>
          <w:rFonts w:ascii="Verdana" w:hAnsi="Verdana" w:cs="Arial"/>
          <w:color w:val="26282A"/>
          <w:sz w:val="22"/>
          <w:szCs w:val="22"/>
          <w:lang w:eastAsia="es-ES"/>
        </w:rPr>
        <w:t>Destinado a: e</w:t>
      </w:r>
      <w:r w:rsidRPr="00882A04">
        <w:rPr>
          <w:rFonts w:ascii="Verdana" w:hAnsi="Verdana" w:cs="Arial"/>
          <w:bCs/>
          <w:color w:val="26282A"/>
          <w:sz w:val="22"/>
          <w:szCs w:val="22"/>
          <w:lang w:eastAsia="es-ES"/>
        </w:rPr>
        <w:t xml:space="preserve">studiantes y egresados de diferentes carreras interesados en arte antiguo, historia, escritura antigua, iconografía, </w:t>
      </w:r>
      <w:r w:rsidR="00882A04" w:rsidRPr="00882A04">
        <w:rPr>
          <w:rFonts w:ascii="Verdana" w:hAnsi="Verdana" w:cs="Arial"/>
          <w:bCs/>
          <w:color w:val="26282A"/>
          <w:sz w:val="22"/>
          <w:szCs w:val="22"/>
          <w:lang w:eastAsia="es-ES"/>
        </w:rPr>
        <w:t>cultura material, memoria cultural, hermeneútica de las imágenes, semiología y en especial egiptología.</w:t>
      </w:r>
    </w:p>
    <w:p w:rsidR="00975C34" w:rsidRPr="00882A04" w:rsidRDefault="00882A04" w:rsidP="00975C34">
      <w:pPr>
        <w:spacing w:after="80"/>
        <w:ind w:left="2342" w:right="17" w:hanging="2342"/>
        <w:jc w:val="both"/>
        <w:rPr>
          <w:rFonts w:ascii="Verdana" w:hAnsi="Verdana" w:cs="Arial"/>
          <w:bCs/>
          <w:color w:val="26282A"/>
          <w:sz w:val="22"/>
          <w:szCs w:val="22"/>
          <w:lang w:eastAsia="es-ES"/>
        </w:rPr>
      </w:pPr>
      <w:r w:rsidRPr="00882A04">
        <w:rPr>
          <w:rFonts w:ascii="Verdana" w:hAnsi="Verdana" w:cs="Arial"/>
          <w:bCs/>
          <w:color w:val="26282A"/>
          <w:sz w:val="22"/>
          <w:szCs w:val="22"/>
          <w:lang w:eastAsia="es-ES"/>
        </w:rPr>
        <w:t xml:space="preserve">Mínimo de inscriptos: 20 </w:t>
      </w:r>
    </w:p>
    <w:p w:rsidR="00882A04" w:rsidRPr="00882A04" w:rsidRDefault="00882A04" w:rsidP="00975C34">
      <w:pPr>
        <w:spacing w:after="80"/>
        <w:ind w:left="2342" w:right="17" w:hanging="2342"/>
        <w:jc w:val="both"/>
        <w:rPr>
          <w:rFonts w:ascii="Verdana" w:hAnsi="Verdana" w:cs="Arial"/>
          <w:color w:val="26282A"/>
          <w:sz w:val="22"/>
          <w:szCs w:val="22"/>
          <w:lang w:eastAsia="es-ES"/>
        </w:rPr>
      </w:pPr>
      <w:r w:rsidRPr="00882A04">
        <w:rPr>
          <w:rFonts w:ascii="Verdana" w:hAnsi="Verdana" w:cs="Arial"/>
          <w:bCs/>
          <w:color w:val="26282A"/>
          <w:sz w:val="22"/>
          <w:szCs w:val="22"/>
          <w:lang w:eastAsia="es-ES"/>
        </w:rPr>
        <w:t>Máximo de inscriptos: 50</w:t>
      </w:r>
    </w:p>
    <w:p w:rsidR="00AC0B7F" w:rsidRPr="00882A04" w:rsidRDefault="00AC0B7F" w:rsidP="00AC0B7F">
      <w:pPr>
        <w:pBdr>
          <w:bottom w:val="single" w:sz="8" w:space="1" w:color="000000"/>
        </w:pBdr>
        <w:ind w:left="2342" w:right="17" w:hanging="2342"/>
        <w:jc w:val="both"/>
        <w:rPr>
          <w:rFonts w:ascii="Verdana" w:hAnsi="Verdana" w:cs="Arial"/>
          <w:sz w:val="22"/>
          <w:szCs w:val="22"/>
        </w:rPr>
      </w:pPr>
    </w:p>
    <w:p w:rsidR="00AC0B7F" w:rsidRPr="00882A04" w:rsidRDefault="00AC0B7F" w:rsidP="00AC0B7F">
      <w:pPr>
        <w:ind w:left="2342" w:right="17" w:hanging="2342"/>
        <w:jc w:val="both"/>
        <w:rPr>
          <w:rFonts w:ascii="Verdana" w:hAnsi="Verdana" w:cs="Arial"/>
          <w:sz w:val="22"/>
          <w:szCs w:val="22"/>
        </w:rPr>
      </w:pPr>
    </w:p>
    <w:p w:rsidR="00AC0B7F" w:rsidRPr="00882A04" w:rsidRDefault="00AC0B7F" w:rsidP="00AC0B7F">
      <w:pPr>
        <w:jc w:val="both"/>
        <w:rPr>
          <w:rFonts w:ascii="Verdana" w:hAnsi="Verdana" w:cs="Arial"/>
          <w:sz w:val="22"/>
          <w:szCs w:val="22"/>
          <w:lang w:val="es-AR"/>
        </w:rPr>
      </w:pPr>
    </w:p>
    <w:p w:rsidR="00AC0B7F" w:rsidRPr="00882A04" w:rsidRDefault="00C7106E" w:rsidP="00AC0B7F">
      <w:pPr>
        <w:spacing w:after="120"/>
        <w:jc w:val="both"/>
        <w:rPr>
          <w:rFonts w:ascii="Verdana" w:hAnsi="Verdana" w:cs="Arial"/>
          <w:b/>
          <w:bCs/>
          <w:sz w:val="22"/>
          <w:szCs w:val="22"/>
          <w:lang w:val="es-AR"/>
        </w:rPr>
      </w:pPr>
      <w:r w:rsidRPr="00882A04">
        <w:rPr>
          <w:rFonts w:ascii="Verdana" w:hAnsi="Verdana" w:cs="Arial"/>
          <w:b/>
          <w:bCs/>
          <w:sz w:val="22"/>
          <w:szCs w:val="22"/>
          <w:lang w:val="es-AR"/>
        </w:rPr>
        <w:t>1. FUNDAMENTOS Y OBJETIVO</w:t>
      </w:r>
    </w:p>
    <w:p w:rsidR="00AC0B7F" w:rsidRPr="00882A04" w:rsidRDefault="00AC0B7F" w:rsidP="00AC0B7F">
      <w:pPr>
        <w:jc w:val="both"/>
        <w:rPr>
          <w:rFonts w:ascii="Verdana" w:hAnsi="Verdana" w:cs="Arial"/>
          <w:sz w:val="22"/>
          <w:szCs w:val="22"/>
        </w:rPr>
      </w:pPr>
      <w:r w:rsidRPr="00882A04">
        <w:rPr>
          <w:rFonts w:ascii="Verdana" w:hAnsi="Verdana" w:cs="Arial"/>
          <w:sz w:val="22"/>
          <w:szCs w:val="22"/>
        </w:rPr>
        <w:t xml:space="preserve">La pervivencia del Egipto faraónico durante casi tres mil años lo convierte en un caso particular de estudio, abordado a menudo a partir de una visión monocéntrica, de continuidad e inmovilidad. Es cierto, no obstante, que las manifestaciones de la estatalidad se aprecian en los distintos ámbitos (cultural, político, social y económico) y es difícil vislumbrar aquellos espacios donde no estaba presente la marca estatal. Análogamente, el arte egipcio -en tanto está íntimamente ligado a las concepciones del mundo, a las creencias religiosas; y por ser una sociedad antigua también a las expresiones políticas-, reproduce un repertorio iconográfico que es mayoritariamente estereotipado y repetitivo, ligando de este modo las formas de expresión artística y cultural a la continuidad modélica. </w:t>
      </w:r>
    </w:p>
    <w:p w:rsidR="00AC0B7F" w:rsidRPr="00882A04" w:rsidRDefault="00AC0B7F" w:rsidP="00AC0B7F">
      <w:pPr>
        <w:jc w:val="both"/>
        <w:rPr>
          <w:rFonts w:ascii="Verdana" w:hAnsi="Verdana" w:cs="Arial"/>
          <w:sz w:val="22"/>
          <w:szCs w:val="22"/>
        </w:rPr>
      </w:pPr>
      <w:r w:rsidRPr="00882A04">
        <w:rPr>
          <w:rFonts w:ascii="Verdana" w:hAnsi="Verdana" w:cs="Arial"/>
          <w:sz w:val="22"/>
          <w:szCs w:val="22"/>
        </w:rPr>
        <w:lastRenderedPageBreak/>
        <w:t>No obstante ello, existieron intersticios, justamente expresiones que pueden encontrarse en lo económico, lo político, lo cultural y lo social; muy difíciles de definir con categorías y conceptos modernos, pero que presentan una ruptura a las formas y expresiones modélicas de los antiguos egipcios. Nos interesa analizar en este seminario la categoría de intersticios o grietas culturales y ponerla en diálogo con el concepto de memoria cultural propuesto por Aleida y Jan Assmann.</w:t>
      </w:r>
    </w:p>
    <w:p w:rsidR="00AC0B7F" w:rsidRPr="00882A04" w:rsidRDefault="00AC0B7F" w:rsidP="00AC0B7F">
      <w:pPr>
        <w:jc w:val="both"/>
        <w:rPr>
          <w:rFonts w:ascii="Verdana" w:hAnsi="Verdana" w:cs="Arial"/>
          <w:sz w:val="22"/>
          <w:szCs w:val="22"/>
        </w:rPr>
      </w:pPr>
      <w:r w:rsidRPr="00882A04">
        <w:rPr>
          <w:rFonts w:ascii="Verdana" w:hAnsi="Verdana" w:cs="Arial"/>
          <w:sz w:val="22"/>
          <w:szCs w:val="22"/>
        </w:rPr>
        <w:t xml:space="preserve">Asimismo, como objetivos del seminario proponemos indagar en otras categorías epistemológicas y heurísticas relativas al estudio de las imágenes y representaciones y sus vínculos con la escritura jeroglífica. En esta clave, el abordaje del sistema de escritura será una herramienta que nos permitirá acceder a las manifestaciones tradicionales y de ruptura de la cultura de esta antigua civilización. El propósito del seminario será entonces presentar una serie de fuentes iconográficas y analizarlas a través de la comprensión de su escritura y sus imágenes. No obstante, proponemos sobrepasar un análisis literal y natural de las mismas, indagando sobre la semiótica y la hermenéutica, así como las distintas formas de ver y comprender tales representaciones. </w:t>
      </w:r>
    </w:p>
    <w:p w:rsidR="00AC0B7F" w:rsidRPr="00882A04" w:rsidRDefault="00AC0B7F" w:rsidP="00AC0B7F">
      <w:pPr>
        <w:jc w:val="both"/>
        <w:rPr>
          <w:rFonts w:ascii="Verdana" w:hAnsi="Verdana" w:cs="Arial"/>
          <w:sz w:val="22"/>
          <w:szCs w:val="22"/>
        </w:rPr>
      </w:pPr>
      <w:r w:rsidRPr="00882A04">
        <w:rPr>
          <w:rFonts w:ascii="Verdana" w:hAnsi="Verdana" w:cs="Arial"/>
          <w:sz w:val="22"/>
          <w:szCs w:val="22"/>
        </w:rPr>
        <w:t xml:space="preserve">De todos modos, brindaremos elementos básicos para la identificación de signos y su transliteración y dar lugar a que se amplíen las búsquedas para el reconocimiento de palabras, su transliteración y traducción a través del manejo de vocabularios y gramáticas. Tal experiencia se realizará sobre los textos que acompañan representaciones en soportes materiales específicos en los períodos seleccionados.  </w:t>
      </w:r>
    </w:p>
    <w:p w:rsidR="00AC0B7F" w:rsidRPr="00882A04" w:rsidRDefault="00AC0B7F" w:rsidP="00AC0B7F">
      <w:pPr>
        <w:jc w:val="both"/>
        <w:rPr>
          <w:rFonts w:ascii="Verdana" w:hAnsi="Verdana" w:cs="Arial"/>
          <w:noProof/>
          <w:sz w:val="22"/>
          <w:szCs w:val="22"/>
          <w:lang w:val="es-AR"/>
        </w:rPr>
      </w:pPr>
      <w:r w:rsidRPr="00882A04">
        <w:rPr>
          <w:rFonts w:ascii="Verdana" w:hAnsi="Verdana" w:cs="Arial"/>
          <w:sz w:val="22"/>
          <w:szCs w:val="22"/>
          <w:lang w:val="es-ES_tradnl"/>
        </w:rPr>
        <w:t>Dado que las inscripciones se encuentran en distintos soportes</w:t>
      </w:r>
      <w:r w:rsidRPr="00882A04">
        <w:rPr>
          <w:rFonts w:ascii="Verdana" w:hAnsi="Verdana" w:cs="Arial"/>
          <w:noProof/>
          <w:sz w:val="22"/>
          <w:szCs w:val="22"/>
          <w:lang w:val="es-MX"/>
        </w:rPr>
        <w:t xml:space="preserve"> y en contextos diversos (inscripciones monumentales, estelas funerarias, etc.) por lo tanto, l</w:t>
      </w:r>
      <w:r w:rsidRPr="00882A04">
        <w:rPr>
          <w:rFonts w:ascii="Verdana" w:hAnsi="Verdana" w:cs="Arial"/>
          <w:sz w:val="22"/>
          <w:szCs w:val="22"/>
          <w:lang w:val="es-AR"/>
        </w:rPr>
        <w:t xml:space="preserve">a interpretación de los mismos requiere de un abordaje que trascienda su traducción directa y que implica comprenderlos como lenguaje expresivo de una realidad sociocultural y política que era representada por medio de símbolos y de códigos específicos. </w:t>
      </w:r>
    </w:p>
    <w:p w:rsidR="00AC0B7F" w:rsidRPr="00882A04" w:rsidRDefault="00AC0B7F" w:rsidP="00AC0B7F">
      <w:pPr>
        <w:jc w:val="both"/>
        <w:rPr>
          <w:rFonts w:ascii="Verdana" w:hAnsi="Verdana" w:cs="Arial"/>
          <w:noProof/>
          <w:sz w:val="22"/>
          <w:szCs w:val="22"/>
          <w:lang w:val="es-MX"/>
        </w:rPr>
      </w:pPr>
      <w:r w:rsidRPr="00882A04">
        <w:rPr>
          <w:rFonts w:ascii="Verdana" w:hAnsi="Verdana" w:cs="Arial"/>
          <w:sz w:val="22"/>
          <w:szCs w:val="22"/>
          <w:lang w:val="es-AR"/>
        </w:rPr>
        <w:t>A través de la traducción y del contexto socio-cultural y político de los textos y las imágenes a analizar en el presente seminario, se propondrá una interpretación de aquellos como verdadera totalidad que es unidad de significado y que incluye además a los destinatarios de los mensajes y a la difusión de los mismos.</w:t>
      </w:r>
    </w:p>
    <w:p w:rsidR="00AC0B7F" w:rsidRPr="00882A04" w:rsidRDefault="00AC0B7F" w:rsidP="00AC0B7F">
      <w:pPr>
        <w:jc w:val="both"/>
        <w:rPr>
          <w:rFonts w:ascii="Verdana" w:hAnsi="Verdana" w:cs="Arial"/>
          <w:sz w:val="22"/>
          <w:szCs w:val="22"/>
          <w:lang w:val="es-AR"/>
        </w:rPr>
      </w:pPr>
    </w:p>
    <w:p w:rsidR="00AC0B7F" w:rsidRPr="00882A04" w:rsidRDefault="00AC0B7F" w:rsidP="00AC0B7F">
      <w:pPr>
        <w:jc w:val="both"/>
        <w:rPr>
          <w:rFonts w:ascii="Verdana" w:hAnsi="Verdana" w:cs="Arial"/>
          <w:sz w:val="22"/>
          <w:szCs w:val="22"/>
          <w:lang w:val="es-AR"/>
        </w:rPr>
      </w:pPr>
    </w:p>
    <w:p w:rsidR="00AC0B7F" w:rsidRPr="00882A04" w:rsidRDefault="00AC0B7F" w:rsidP="00AC0B7F">
      <w:pPr>
        <w:spacing w:after="120"/>
        <w:jc w:val="both"/>
        <w:rPr>
          <w:rFonts w:ascii="Verdana" w:hAnsi="Verdana" w:cs="Arial"/>
          <w:b/>
          <w:bCs/>
          <w:sz w:val="22"/>
          <w:szCs w:val="22"/>
          <w:lang w:val="es-AR"/>
        </w:rPr>
      </w:pPr>
      <w:r w:rsidRPr="00882A04">
        <w:rPr>
          <w:rFonts w:ascii="Verdana" w:hAnsi="Verdana" w:cs="Arial"/>
          <w:b/>
          <w:bCs/>
          <w:sz w:val="22"/>
          <w:szCs w:val="22"/>
          <w:lang w:val="es-AR"/>
        </w:rPr>
        <w:t>2.</w:t>
      </w:r>
      <w:r w:rsidR="00C7106E" w:rsidRPr="00882A04">
        <w:rPr>
          <w:rFonts w:ascii="Verdana" w:hAnsi="Verdana" w:cs="Arial"/>
          <w:color w:val="26282A"/>
          <w:sz w:val="22"/>
          <w:szCs w:val="22"/>
          <w:lang w:eastAsia="es-ES"/>
        </w:rPr>
        <w:t xml:space="preserve"> </w:t>
      </w:r>
      <w:r w:rsidRPr="00882A04">
        <w:rPr>
          <w:rFonts w:ascii="Verdana" w:hAnsi="Verdana" w:cs="Arial"/>
          <w:b/>
          <w:bCs/>
          <w:sz w:val="22"/>
          <w:szCs w:val="22"/>
          <w:lang w:val="es-AR"/>
        </w:rPr>
        <w:t>CONTENIDOS</w:t>
      </w:r>
      <w:r w:rsidR="00975C34" w:rsidRPr="00882A04">
        <w:rPr>
          <w:rFonts w:ascii="Verdana" w:hAnsi="Verdana" w:cs="Arial"/>
          <w:b/>
          <w:bCs/>
          <w:sz w:val="22"/>
          <w:szCs w:val="22"/>
          <w:lang w:val="es-AR"/>
        </w:rPr>
        <w:t xml:space="preserve"> MÍNIMOS</w:t>
      </w:r>
      <w:r w:rsidRPr="00882A04">
        <w:rPr>
          <w:rFonts w:ascii="Verdana" w:hAnsi="Verdana" w:cs="Arial"/>
          <w:b/>
          <w:bCs/>
          <w:sz w:val="22"/>
          <w:szCs w:val="22"/>
          <w:lang w:val="es-AR"/>
        </w:rPr>
        <w:t xml:space="preserve"> Y BIBLIOGRAFÍA OBLIGATORIA</w:t>
      </w:r>
    </w:p>
    <w:p w:rsidR="00AC0B7F" w:rsidRPr="00882A04" w:rsidRDefault="00AC0B7F" w:rsidP="00AC0B7F">
      <w:pPr>
        <w:rPr>
          <w:rFonts w:ascii="Verdana" w:hAnsi="Verdana"/>
          <w:sz w:val="22"/>
          <w:szCs w:val="22"/>
        </w:rPr>
      </w:pPr>
    </w:p>
    <w:p w:rsidR="00AC0B7F" w:rsidRPr="00882A04" w:rsidRDefault="00AC0B7F" w:rsidP="00AC0B7F">
      <w:pPr>
        <w:jc w:val="both"/>
        <w:rPr>
          <w:rFonts w:ascii="Verdana" w:hAnsi="Verdana" w:cs="Arial"/>
          <w:sz w:val="22"/>
          <w:szCs w:val="22"/>
          <w:lang w:val="es-ES_tradnl"/>
        </w:rPr>
      </w:pPr>
      <w:r w:rsidRPr="00882A04">
        <w:rPr>
          <w:rFonts w:ascii="Verdana" w:hAnsi="Verdana" w:cs="Arial"/>
          <w:b/>
          <w:sz w:val="22"/>
          <w:szCs w:val="22"/>
        </w:rPr>
        <w:t>Unidad 1:</w:t>
      </w:r>
      <w:r w:rsidRPr="00882A04">
        <w:rPr>
          <w:rFonts w:ascii="Verdana" w:hAnsi="Verdana" w:cs="Arial"/>
          <w:sz w:val="22"/>
          <w:szCs w:val="22"/>
        </w:rPr>
        <w:t xml:space="preserve"> La realeza como continuidad incólume. Reyes y dioses: ¿un lenguaje de la inmutabilidad? El Reino antiguo y el llamado renacimiento. Los jeroglíficos como escritura e imagen. </w:t>
      </w:r>
      <w:r w:rsidRPr="00882A04">
        <w:rPr>
          <w:rFonts w:ascii="Verdana" w:hAnsi="Verdana" w:cs="Arial"/>
          <w:sz w:val="22"/>
          <w:szCs w:val="22"/>
          <w:lang w:val="es-ES_tradnl"/>
        </w:rPr>
        <w:t xml:space="preserve">El sistema de escritura: fonemas unilíteros, bilíteros y trilíteros; ideogramas y determinativos genéricos. La dirección de la escritura. La composición de las palabras. </w:t>
      </w:r>
    </w:p>
    <w:p w:rsidR="00AC0B7F" w:rsidRPr="00882A04" w:rsidRDefault="00AC0B7F" w:rsidP="00AC0B7F">
      <w:pPr>
        <w:jc w:val="both"/>
        <w:rPr>
          <w:rFonts w:ascii="Verdana" w:hAnsi="Verdana" w:cs="Arial"/>
          <w:sz w:val="22"/>
          <w:szCs w:val="22"/>
        </w:rPr>
      </w:pPr>
      <w:r w:rsidRPr="00882A04">
        <w:rPr>
          <w:rFonts w:ascii="Verdana" w:hAnsi="Verdana" w:cs="Arial"/>
          <w:sz w:val="22"/>
          <w:szCs w:val="22"/>
        </w:rPr>
        <w:t>Interacciones entre textos e imágenes. Interpretaciones iconográficas. La mesa de ofrendas como ícono</w:t>
      </w:r>
      <w:r w:rsidR="00DA6076" w:rsidRPr="00882A04">
        <w:rPr>
          <w:rFonts w:ascii="Verdana" w:hAnsi="Verdana" w:cs="Arial"/>
          <w:sz w:val="22"/>
          <w:szCs w:val="22"/>
        </w:rPr>
        <w:t xml:space="preserve"> de continuidad</w:t>
      </w:r>
      <w:r w:rsidRPr="00882A04">
        <w:rPr>
          <w:rFonts w:ascii="Verdana" w:hAnsi="Verdana" w:cs="Arial"/>
          <w:sz w:val="22"/>
          <w:szCs w:val="22"/>
        </w:rPr>
        <w:t xml:space="preserve">. Los juegos iconográficos. </w:t>
      </w:r>
    </w:p>
    <w:p w:rsidR="00AC0B7F" w:rsidRPr="00882A04" w:rsidRDefault="00AC0B7F" w:rsidP="00AC0B7F">
      <w:pPr>
        <w:jc w:val="both"/>
        <w:rPr>
          <w:rFonts w:ascii="Verdana" w:hAnsi="Verdana" w:cs="Arial"/>
          <w:sz w:val="22"/>
          <w:szCs w:val="22"/>
        </w:rPr>
      </w:pPr>
    </w:p>
    <w:p w:rsidR="00AC0B7F" w:rsidRPr="00882A04" w:rsidRDefault="00AC0B7F" w:rsidP="00AC0B7F">
      <w:pPr>
        <w:jc w:val="both"/>
        <w:rPr>
          <w:rFonts w:ascii="Verdana" w:hAnsi="Verdana" w:cs="Arial"/>
          <w:sz w:val="22"/>
          <w:szCs w:val="22"/>
        </w:rPr>
      </w:pPr>
      <w:r w:rsidRPr="00882A04">
        <w:rPr>
          <w:rFonts w:ascii="Verdana" w:hAnsi="Verdana" w:cs="Arial"/>
          <w:b/>
          <w:sz w:val="22"/>
          <w:szCs w:val="22"/>
        </w:rPr>
        <w:t>Fuentes:</w:t>
      </w:r>
      <w:r w:rsidRPr="00882A04">
        <w:rPr>
          <w:rFonts w:ascii="Verdana" w:hAnsi="Verdana" w:cs="Arial"/>
          <w:sz w:val="22"/>
          <w:szCs w:val="22"/>
        </w:rPr>
        <w:t xml:space="preserve"> Inscripciones de las primeras dinastías. </w:t>
      </w:r>
    </w:p>
    <w:p w:rsidR="00AC0B7F" w:rsidRPr="00882A04" w:rsidRDefault="00AC0B7F" w:rsidP="00AC0B7F">
      <w:pPr>
        <w:jc w:val="both"/>
        <w:rPr>
          <w:rFonts w:ascii="Verdana" w:hAnsi="Verdana" w:cs="Arial"/>
          <w:sz w:val="22"/>
          <w:szCs w:val="22"/>
        </w:rPr>
      </w:pPr>
      <w:r w:rsidRPr="00882A04">
        <w:rPr>
          <w:rFonts w:ascii="Verdana" w:hAnsi="Verdana" w:cs="Arial"/>
          <w:sz w:val="22"/>
          <w:szCs w:val="22"/>
        </w:rPr>
        <w:t xml:space="preserve">Extracto de los textos de las pirámides. </w:t>
      </w:r>
    </w:p>
    <w:p w:rsidR="00AC0B7F" w:rsidRPr="00882A04" w:rsidRDefault="00AC0B7F" w:rsidP="00AC0B7F">
      <w:pPr>
        <w:rPr>
          <w:rFonts w:ascii="Verdana" w:hAnsi="Verdana" w:cs="Arial"/>
          <w:sz w:val="22"/>
          <w:szCs w:val="22"/>
        </w:rPr>
      </w:pPr>
    </w:p>
    <w:p w:rsidR="00AC0B7F" w:rsidRPr="00882A04" w:rsidRDefault="00AC0B7F" w:rsidP="00AC0B7F">
      <w:pPr>
        <w:ind w:left="709" w:hanging="709"/>
        <w:jc w:val="both"/>
        <w:rPr>
          <w:rFonts w:ascii="Verdana" w:hAnsi="Verdana" w:cs="Arial"/>
          <w:b/>
          <w:sz w:val="22"/>
          <w:szCs w:val="22"/>
          <w:lang w:val="en-US"/>
        </w:rPr>
      </w:pPr>
      <w:r w:rsidRPr="00882A04">
        <w:rPr>
          <w:rFonts w:ascii="Verdana" w:hAnsi="Verdana" w:cs="Arial"/>
          <w:b/>
          <w:sz w:val="22"/>
          <w:szCs w:val="22"/>
          <w:lang w:val="en-US"/>
        </w:rPr>
        <w:t xml:space="preserve">Bibliografía: </w:t>
      </w:r>
    </w:p>
    <w:p w:rsidR="00AC0B7F" w:rsidRPr="00882A04" w:rsidRDefault="00AC0B7F" w:rsidP="00AC0B7F">
      <w:pPr>
        <w:ind w:left="709" w:hanging="709"/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/>
        </w:rPr>
        <w:t xml:space="preserve">Allen, </w:t>
      </w:r>
      <w:r w:rsidRPr="00882A04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>James P. </w:t>
      </w:r>
      <w:r w:rsidRPr="00882A04">
        <w:rPr>
          <w:rFonts w:ascii="Verdana" w:hAnsi="Verdana" w:cs="Arial"/>
          <w:i/>
          <w:iCs/>
          <w:color w:val="000000"/>
          <w:sz w:val="22"/>
          <w:szCs w:val="22"/>
          <w:lang w:val="en-US"/>
        </w:rPr>
        <w:t>Middle Egyptian: An Introduction to the Language and Culture of Hieroglyphs</w:t>
      </w:r>
      <w:r w:rsidRPr="00882A04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>, 3ª ed., Cambridge University Press, 2014. </w:t>
      </w:r>
    </w:p>
    <w:p w:rsidR="00AC0B7F" w:rsidRPr="00882A04" w:rsidRDefault="00AC0B7F" w:rsidP="00AC0B7F">
      <w:pPr>
        <w:ind w:left="709" w:hanging="709"/>
        <w:jc w:val="both"/>
        <w:rPr>
          <w:rFonts w:ascii="Verdana" w:hAnsi="Verdana" w:cs="Arial"/>
          <w:b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/>
        </w:rPr>
        <w:t>Andreu, Guillemette.</w:t>
      </w:r>
      <w:r w:rsidRPr="00882A04">
        <w:rPr>
          <w:rFonts w:ascii="Verdana" w:hAnsi="Verdana" w:cs="Arial"/>
          <w:b/>
          <w:sz w:val="22"/>
          <w:szCs w:val="22"/>
          <w:lang w:val="en-US"/>
        </w:rPr>
        <w:t xml:space="preserve"> “</w:t>
      </w:r>
      <w:r w:rsidRPr="00882A04">
        <w:rPr>
          <w:rFonts w:ascii="Verdana" w:hAnsi="Verdana" w:cs="Arial"/>
          <w:sz w:val="22"/>
          <w:szCs w:val="22"/>
          <w:lang w:val="en-US"/>
        </w:rPr>
        <w:t>The Old Kingdom”,</w:t>
      </w:r>
      <w:r w:rsidRPr="00882A04">
        <w:rPr>
          <w:rFonts w:ascii="Verdana" w:hAnsi="Verdana" w:cs="Arial"/>
          <w:b/>
          <w:sz w:val="22"/>
          <w:szCs w:val="22"/>
          <w:lang w:val="en-US"/>
        </w:rPr>
        <w:t xml:space="preserve"> </w:t>
      </w:r>
      <w:r w:rsidRPr="00882A04">
        <w:rPr>
          <w:rFonts w:ascii="Verdana" w:hAnsi="Verdana" w:cs="Arial"/>
          <w:sz w:val="22"/>
          <w:szCs w:val="22"/>
          <w:lang w:val="en-US"/>
        </w:rPr>
        <w:t>en Tiradritti, Francesco, Egypt Renaissance. Archaism and the Sense of History in Ancient Egypt”, Museum of Fine Arts: Budapest, 2008, pp. 39-43.</w:t>
      </w:r>
    </w:p>
    <w:p w:rsidR="00AC0B7F" w:rsidRPr="00882A04" w:rsidRDefault="00AC0B7F" w:rsidP="00AC0B7F">
      <w:pPr>
        <w:ind w:left="709" w:hanging="709"/>
        <w:jc w:val="both"/>
        <w:rPr>
          <w:rFonts w:ascii="Verdana" w:hAnsi="Verdana" w:cs="Arial"/>
          <w:sz w:val="22"/>
          <w:szCs w:val="22"/>
        </w:rPr>
      </w:pPr>
      <w:r w:rsidRPr="00882A04">
        <w:rPr>
          <w:rFonts w:ascii="Verdana" w:hAnsi="Verdana" w:cs="Arial"/>
          <w:sz w:val="22"/>
          <w:szCs w:val="22"/>
        </w:rPr>
        <w:t>Angenot, Valerie. “Discordancia entre texto e imagen. Dos ejemplos de los Imperios Antiguo y Nuevo,” Göttinger Miszellen 187, 2002, pp. 11–21.</w:t>
      </w:r>
    </w:p>
    <w:p w:rsidR="00AC0B7F" w:rsidRPr="00882A04" w:rsidRDefault="00AC0B7F" w:rsidP="00AC0B7F">
      <w:pPr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</w:rPr>
        <w:t xml:space="preserve">Bryan, B. “La disyunción de texto e imagen en el arte egipcio”, en  P. Der Manuelian, </w:t>
      </w:r>
      <w:r w:rsidRPr="00882A04">
        <w:rPr>
          <w:rFonts w:ascii="Verdana" w:hAnsi="Verdana" w:cs="Arial"/>
          <w:i/>
          <w:sz w:val="22"/>
          <w:szCs w:val="22"/>
        </w:rPr>
        <w:t>Studies in honor of William Kelly Simpson</w:t>
      </w:r>
      <w:r w:rsidRPr="00882A04">
        <w:rPr>
          <w:rFonts w:ascii="Verdana" w:hAnsi="Verdana" w:cs="Arial"/>
          <w:sz w:val="22"/>
          <w:szCs w:val="22"/>
        </w:rPr>
        <w:t xml:space="preserve">. </w:t>
      </w:r>
      <w:r w:rsidRPr="00882A04">
        <w:rPr>
          <w:rFonts w:ascii="Verdana" w:hAnsi="Verdana" w:cs="Arial"/>
          <w:sz w:val="22"/>
          <w:szCs w:val="22"/>
          <w:lang w:val="en-US"/>
        </w:rPr>
        <w:t xml:space="preserve">Vol. 1, Boston: Dept. of Ancient Egyptian, Nubian and Near Eastern Art, Museum of Fine Arts, 1996, pp. 161-168. </w:t>
      </w:r>
    </w:p>
    <w:p w:rsidR="00DA6076" w:rsidRPr="00882A04" w:rsidRDefault="00DA6076" w:rsidP="00DA6076">
      <w:pPr>
        <w:ind w:left="709" w:hanging="709"/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/>
        </w:rPr>
        <w:t>Manuelian, P. Der. </w:t>
      </w:r>
      <w:r w:rsidRPr="00882A04">
        <w:rPr>
          <w:rFonts w:ascii="Verdana" w:hAnsi="Verdana" w:cs="Arial"/>
          <w:i/>
          <w:sz w:val="22"/>
          <w:szCs w:val="22"/>
          <w:lang w:val="en-US"/>
        </w:rPr>
        <w:t>Slab Stelae of the Giza Necropolis</w:t>
      </w:r>
      <w:r w:rsidRPr="00882A04">
        <w:rPr>
          <w:rFonts w:ascii="Verdana" w:hAnsi="Verdana" w:cs="Arial"/>
          <w:sz w:val="22"/>
          <w:szCs w:val="22"/>
          <w:lang w:val="en-US"/>
        </w:rPr>
        <w:t>. New Haven y Filadelfia: Peabody Museum of Natural History of Yale University, 2003. </w:t>
      </w:r>
    </w:p>
    <w:p w:rsidR="00AC0B7F" w:rsidRPr="00882A04" w:rsidRDefault="00AC0B7F" w:rsidP="00AC0B7F">
      <w:pPr>
        <w:jc w:val="both"/>
        <w:rPr>
          <w:rFonts w:ascii="Verdana" w:hAnsi="Verdana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</w:rPr>
        <w:t>Morales, Antonio.</w:t>
      </w:r>
      <w:r w:rsidRPr="00882A04">
        <w:rPr>
          <w:rFonts w:ascii="Verdana" w:hAnsi="Verdana" w:cs="Arial"/>
          <w:sz w:val="22"/>
          <w:szCs w:val="22"/>
          <w:lang w:eastAsia="es-ES"/>
        </w:rPr>
        <w:t xml:space="preserve"> “El ritual en los </w:t>
      </w:r>
      <w:r w:rsidRPr="00882A04">
        <w:rPr>
          <w:rFonts w:ascii="Verdana" w:hAnsi="Verdana" w:cs="Arial"/>
          <w:i/>
          <w:iCs/>
          <w:sz w:val="22"/>
          <w:szCs w:val="22"/>
          <w:lang w:eastAsia="es-ES"/>
        </w:rPr>
        <w:t>Textos de las Pirámides</w:t>
      </w:r>
      <w:r w:rsidRPr="00882A04">
        <w:rPr>
          <w:rFonts w:ascii="Verdana" w:hAnsi="Verdana" w:cs="Arial"/>
          <w:sz w:val="22"/>
          <w:szCs w:val="22"/>
          <w:lang w:eastAsia="es-ES"/>
        </w:rPr>
        <w:t xml:space="preserve">: sintaxis, texto y significado”, </w:t>
      </w:r>
      <w:r w:rsidRPr="00882A04">
        <w:rPr>
          <w:rFonts w:ascii="Verdana" w:hAnsi="Verdana" w:cs="Arial"/>
          <w:i/>
          <w:iCs/>
          <w:sz w:val="22"/>
          <w:szCs w:val="22"/>
          <w:lang w:eastAsia="es-ES"/>
        </w:rPr>
        <w:t xml:space="preserve"> Ilu. </w:t>
      </w:r>
      <w:r w:rsidRPr="00882A04">
        <w:rPr>
          <w:rFonts w:ascii="Verdana" w:hAnsi="Verdana" w:cs="Arial"/>
          <w:i/>
          <w:iCs/>
          <w:sz w:val="22"/>
          <w:szCs w:val="22"/>
          <w:lang w:val="en-US" w:eastAsia="es-ES"/>
        </w:rPr>
        <w:t xml:space="preserve">Revista de Ciencias de las Religiones </w:t>
      </w:r>
      <w:r w:rsidRPr="00882A04">
        <w:rPr>
          <w:rFonts w:ascii="Verdana" w:hAnsi="Verdana" w:cs="Arial"/>
          <w:sz w:val="22"/>
          <w:szCs w:val="22"/>
          <w:lang w:val="en-US" w:eastAsia="es-ES"/>
        </w:rPr>
        <w:t>20, 2015, pp. 137-164.</w:t>
      </w:r>
      <w:r w:rsidRPr="00882A04">
        <w:rPr>
          <w:rFonts w:ascii="Verdana" w:hAnsi="Verdana"/>
          <w:sz w:val="22"/>
          <w:szCs w:val="22"/>
          <w:lang w:val="en-US"/>
        </w:rPr>
        <w:t xml:space="preserve"> </w:t>
      </w:r>
    </w:p>
    <w:p w:rsidR="00AC0B7F" w:rsidRPr="00882A04" w:rsidRDefault="00AC0B7F" w:rsidP="00AC0B7F">
      <w:pPr>
        <w:ind w:left="709" w:hanging="709"/>
        <w:jc w:val="both"/>
        <w:rPr>
          <w:rFonts w:ascii="Verdana" w:hAnsi="Verdana" w:cs="Arial"/>
          <w:color w:val="101010"/>
          <w:sz w:val="22"/>
          <w:szCs w:val="22"/>
          <w:shd w:val="clear" w:color="auto" w:fill="FFFFFF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/>
        </w:rPr>
        <w:t xml:space="preserve">O´Neil, Bárbara, </w:t>
      </w:r>
      <w:r w:rsidRPr="00882A04">
        <w:rPr>
          <w:rFonts w:ascii="Verdana" w:hAnsi="Verdana" w:cs="Arial"/>
          <w:i/>
          <w:color w:val="101010"/>
          <w:sz w:val="22"/>
          <w:szCs w:val="22"/>
          <w:shd w:val="clear" w:color="auto" w:fill="FFFFFF"/>
          <w:lang w:val="en-US"/>
        </w:rPr>
        <w:t>Setting the Scene: The deceased and regenerative cult within offering table imagery of the Egyptian Old to Middle Kingdoms (c.2686 – c.1650 BC)</w:t>
      </w:r>
      <w:r w:rsidRPr="00882A04">
        <w:rPr>
          <w:rFonts w:ascii="Verdana" w:hAnsi="Verdana" w:cs="Arial"/>
          <w:color w:val="101010"/>
          <w:sz w:val="22"/>
          <w:szCs w:val="22"/>
          <w:shd w:val="clear" w:color="auto" w:fill="FFFFFF"/>
          <w:lang w:val="en-US"/>
        </w:rPr>
        <w:t xml:space="preserve">, Archaeopress, Oxford, 2015, pp. 15-25. </w:t>
      </w:r>
    </w:p>
    <w:p w:rsidR="00DA6076" w:rsidRPr="00882A04" w:rsidRDefault="00DA6076" w:rsidP="0061432B">
      <w:pPr>
        <w:ind w:left="709" w:hanging="709"/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/>
        </w:rPr>
        <w:t>Saad</w:t>
      </w:r>
      <w:r w:rsidR="0061432B" w:rsidRPr="00882A04">
        <w:rPr>
          <w:rFonts w:ascii="Verdana" w:hAnsi="Verdana" w:cs="Arial"/>
          <w:sz w:val="22"/>
          <w:szCs w:val="22"/>
          <w:lang w:val="en-US"/>
        </w:rPr>
        <w:t xml:space="preserve">, Z.Y. </w:t>
      </w:r>
      <w:r w:rsidRPr="00882A04">
        <w:rPr>
          <w:rFonts w:ascii="Verdana" w:hAnsi="Verdana" w:cs="Arial"/>
          <w:i/>
          <w:sz w:val="22"/>
          <w:szCs w:val="22"/>
          <w:lang w:val="en-US"/>
        </w:rPr>
        <w:t>Ceiling Stelae in Second Dynasty Tombs from the Excavations at Helwan</w:t>
      </w:r>
      <w:r w:rsidR="0061432B" w:rsidRPr="00882A04">
        <w:rPr>
          <w:rFonts w:ascii="Verdana" w:hAnsi="Verdana" w:cs="Arial"/>
          <w:sz w:val="22"/>
          <w:szCs w:val="22"/>
          <w:lang w:val="en-US"/>
        </w:rPr>
        <w:t xml:space="preserve">, </w:t>
      </w:r>
      <w:r w:rsidR="0061432B" w:rsidRPr="00882A04">
        <w:rPr>
          <w:rFonts w:ascii="Verdana" w:eastAsia="Arial Unicode MS" w:hAnsi="Verdana" w:cs="Arial"/>
          <w:sz w:val="22"/>
          <w:szCs w:val="22"/>
          <w:lang w:val="en-US"/>
        </w:rPr>
        <w:t>l'Institut franc</w:t>
      </w:r>
      <w:r w:rsidR="0061432B" w:rsidRPr="00882A04">
        <w:rPr>
          <w:rFonts w:ascii="Arial" w:eastAsia="Arial Unicode MS" w:hAnsi="Arial" w:cs="Arial"/>
          <w:sz w:val="22"/>
          <w:szCs w:val="22"/>
          <w:lang w:val="en-US"/>
        </w:rPr>
        <w:t>̧</w:t>
      </w:r>
      <w:r w:rsidR="0061432B" w:rsidRPr="00882A04">
        <w:rPr>
          <w:rFonts w:ascii="Verdana" w:eastAsia="Arial Unicode MS" w:hAnsi="Verdana" w:cs="Arial"/>
          <w:sz w:val="22"/>
          <w:szCs w:val="22"/>
          <w:lang w:val="en-US"/>
        </w:rPr>
        <w:t xml:space="preserve">ais d'Archéologie orientale, Cairo, 1957. </w:t>
      </w:r>
    </w:p>
    <w:p w:rsidR="00AC0B7F" w:rsidRPr="00882A04" w:rsidRDefault="00AC0B7F" w:rsidP="00AC0B7F">
      <w:pPr>
        <w:ind w:left="709" w:hanging="709"/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/>
        </w:rPr>
        <w:t xml:space="preserve">Staring, Nico, “Fixed rules or personal choice? On the composition and arrangement of daily life scenes in Old Kingdom elite tombs”, en Nigel y Helen STRUDWICK, </w:t>
      </w:r>
      <w:r w:rsidRPr="00882A04">
        <w:rPr>
          <w:rFonts w:ascii="Verdana" w:hAnsi="Verdana" w:cs="Arial"/>
          <w:i/>
          <w:sz w:val="22"/>
          <w:szCs w:val="22"/>
          <w:lang w:val="en-US"/>
        </w:rPr>
        <w:t>Old Kingdom, New Perspectives: Egyptian Art and Archaeology 2750-2150 BC</w:t>
      </w:r>
      <w:r w:rsidRPr="00882A04">
        <w:rPr>
          <w:rFonts w:ascii="Verdana" w:hAnsi="Verdana" w:cs="Arial"/>
          <w:sz w:val="22"/>
          <w:szCs w:val="22"/>
          <w:lang w:val="en-US"/>
        </w:rPr>
        <w:t xml:space="preserve">, Oxbow books, Oxford,  pp. 256-269. </w:t>
      </w:r>
    </w:p>
    <w:p w:rsidR="00AC0B7F" w:rsidRPr="00882A04" w:rsidRDefault="00AC0B7F" w:rsidP="00AC0B7F">
      <w:pPr>
        <w:suppressAutoHyphens w:val="0"/>
        <w:autoSpaceDE w:val="0"/>
        <w:autoSpaceDN w:val="0"/>
        <w:adjustRightInd w:val="0"/>
        <w:ind w:left="709" w:hanging="709"/>
        <w:rPr>
          <w:rFonts w:ascii="Verdana" w:hAnsi="Verdana" w:cs="Arial"/>
          <w:sz w:val="22"/>
          <w:szCs w:val="22"/>
          <w:lang w:val="en-US" w:eastAsia="es-ES"/>
        </w:rPr>
      </w:pPr>
      <w:r w:rsidRPr="00882A04">
        <w:rPr>
          <w:rFonts w:ascii="Verdana" w:hAnsi="Verdana" w:cs="Arial"/>
          <w:sz w:val="22"/>
          <w:szCs w:val="22"/>
          <w:lang w:val="en-US" w:eastAsia="es-ES"/>
        </w:rPr>
        <w:t xml:space="preserve">Sethe, Kurt. </w:t>
      </w:r>
      <w:r w:rsidRPr="00882A04">
        <w:rPr>
          <w:rFonts w:ascii="Verdana" w:hAnsi="Verdana" w:cs="Arial"/>
          <w:i/>
          <w:iCs/>
          <w:sz w:val="22"/>
          <w:szCs w:val="22"/>
          <w:lang w:val="en-US" w:eastAsia="es-ES"/>
        </w:rPr>
        <w:t>Die altaegyptische Pyramidentexte</w:t>
      </w:r>
      <w:r w:rsidRPr="00882A04">
        <w:rPr>
          <w:rFonts w:ascii="Verdana" w:hAnsi="Verdana" w:cs="Arial"/>
          <w:sz w:val="22"/>
          <w:szCs w:val="22"/>
          <w:lang w:val="en-US" w:eastAsia="es-ES"/>
        </w:rPr>
        <w:t>, J.C. Hinrichs’sche Buchhandlung: Leipzig, 1908-1922.</w:t>
      </w:r>
    </w:p>
    <w:p w:rsidR="00AC0B7F" w:rsidRPr="00882A04" w:rsidRDefault="00AC0B7F" w:rsidP="00AC0B7F">
      <w:pPr>
        <w:ind w:left="709" w:hanging="709"/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/>
        </w:rPr>
        <w:t xml:space="preserve">Sist, Loretana. “The importance of history in Ancient Egypt”, en </w:t>
      </w:r>
      <w:r w:rsidRPr="00882A04">
        <w:rPr>
          <w:rFonts w:ascii="Verdana" w:hAnsi="Verdana" w:cs="Arial"/>
          <w:i/>
          <w:sz w:val="22"/>
          <w:szCs w:val="22"/>
          <w:lang w:val="en-US"/>
        </w:rPr>
        <w:t>Egypt Renaissance</w:t>
      </w:r>
      <w:r w:rsidRPr="00882A04">
        <w:rPr>
          <w:rFonts w:ascii="Verdana" w:hAnsi="Verdana" w:cs="Arial"/>
          <w:sz w:val="22"/>
          <w:szCs w:val="22"/>
          <w:lang w:val="en-US"/>
        </w:rPr>
        <w:t>, pp. 21-31.</w:t>
      </w:r>
    </w:p>
    <w:p w:rsidR="00905918" w:rsidRPr="00882A04" w:rsidRDefault="00905918" w:rsidP="00AC0B7F">
      <w:pPr>
        <w:ind w:left="709" w:hanging="709"/>
        <w:jc w:val="both"/>
        <w:rPr>
          <w:rFonts w:ascii="Verdana" w:hAnsi="Verdana" w:cs="Arial"/>
          <w:sz w:val="22"/>
          <w:szCs w:val="22"/>
        </w:rPr>
      </w:pPr>
      <w:r w:rsidRPr="00882A04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 xml:space="preserve">Stewart  H.M. </w:t>
      </w:r>
      <w:r w:rsidRPr="00882A04">
        <w:rPr>
          <w:rFonts w:ascii="Verdana" w:hAnsi="Verdana" w:cs="Arial"/>
          <w:i/>
          <w:color w:val="000000"/>
          <w:sz w:val="22"/>
          <w:szCs w:val="22"/>
          <w:shd w:val="clear" w:color="auto" w:fill="FFFFFF"/>
          <w:lang w:val="en-US"/>
        </w:rPr>
        <w:t xml:space="preserve">Egyptian Stelae, Reliefs and Paintings from the Petrie Collection. </w:t>
      </w:r>
      <w:r w:rsidRPr="00882A04">
        <w:rPr>
          <w:rFonts w:ascii="Verdana" w:hAnsi="Verdana" w:cs="Arial"/>
          <w:i/>
          <w:color w:val="000000"/>
          <w:sz w:val="22"/>
          <w:szCs w:val="22"/>
          <w:shd w:val="clear" w:color="auto" w:fill="FFFFFF"/>
        </w:rPr>
        <w:t>Part</w:t>
      </w:r>
      <w:r w:rsidR="00574D59" w:rsidRPr="00882A04">
        <w:rPr>
          <w:rFonts w:ascii="Verdana" w:hAnsi="Verdana" w:cs="Arial"/>
          <w:i/>
          <w:color w:val="000000"/>
          <w:sz w:val="22"/>
          <w:szCs w:val="22"/>
          <w:shd w:val="clear" w:color="auto" w:fill="FFFFFF"/>
        </w:rPr>
        <w:t>e 2</w:t>
      </w:r>
      <w:r w:rsidRPr="00882A04">
        <w:rPr>
          <w:rFonts w:ascii="Verdana" w:hAnsi="Verdana" w:cs="Arial"/>
          <w:i/>
          <w:color w:val="000000"/>
          <w:sz w:val="22"/>
          <w:szCs w:val="22"/>
          <w:shd w:val="clear" w:color="auto" w:fill="FFFFFF"/>
        </w:rPr>
        <w:t>: Archaic to Second Intermediate Period</w:t>
      </w:r>
      <w:r w:rsidR="00574D59" w:rsidRPr="00882A04">
        <w:rPr>
          <w:rFonts w:ascii="Verdana" w:hAnsi="Verdana" w:cs="Arial"/>
          <w:color w:val="000000"/>
          <w:sz w:val="22"/>
          <w:szCs w:val="22"/>
          <w:shd w:val="clear" w:color="auto" w:fill="FFFFFF"/>
        </w:rPr>
        <w:t>,</w:t>
      </w:r>
      <w:r w:rsidR="00574D59" w:rsidRPr="00882A04">
        <w:rPr>
          <w:rFonts w:ascii="Verdana" w:hAnsi="Verdana" w:cs="Arial"/>
          <w:color w:val="545454"/>
          <w:sz w:val="22"/>
          <w:szCs w:val="22"/>
          <w:shd w:val="clear" w:color="auto" w:fill="FFFFFF"/>
        </w:rPr>
        <w:t xml:space="preserve"> </w:t>
      </w:r>
      <w:r w:rsidR="00574D59" w:rsidRPr="00882A04">
        <w:rPr>
          <w:rFonts w:ascii="Verdana" w:hAnsi="Verdana" w:cs="Arial"/>
          <w:sz w:val="22"/>
          <w:szCs w:val="22"/>
          <w:shd w:val="clear" w:color="auto" w:fill="FFFFFF"/>
        </w:rPr>
        <w:t>Aris &amp; Phillips,</w:t>
      </w:r>
      <w:r w:rsidRPr="00882A04">
        <w:rPr>
          <w:rFonts w:ascii="Verdana" w:hAnsi="Verdana" w:cs="Arial"/>
          <w:sz w:val="22"/>
          <w:szCs w:val="22"/>
          <w:shd w:val="clear" w:color="auto" w:fill="FFFFFF"/>
        </w:rPr>
        <w:t xml:space="preserve"> </w:t>
      </w:r>
      <w:r w:rsidRPr="00882A04">
        <w:rPr>
          <w:rFonts w:ascii="Verdana" w:hAnsi="Verdana" w:cs="Arial"/>
          <w:color w:val="000000"/>
          <w:sz w:val="22"/>
          <w:szCs w:val="22"/>
          <w:shd w:val="clear" w:color="auto" w:fill="FFFFFF"/>
        </w:rPr>
        <w:t>Warminster</w:t>
      </w:r>
      <w:r w:rsidR="00574D59" w:rsidRPr="00882A04">
        <w:rPr>
          <w:rFonts w:ascii="Verdana" w:hAnsi="Verdana" w:cs="Arial"/>
          <w:color w:val="000000"/>
          <w:sz w:val="22"/>
          <w:szCs w:val="22"/>
          <w:shd w:val="clear" w:color="auto" w:fill="FFFFFF"/>
        </w:rPr>
        <w:t>, 1979.</w:t>
      </w:r>
    </w:p>
    <w:p w:rsidR="00AC0B7F" w:rsidRPr="00882A04" w:rsidRDefault="00AC0B7F" w:rsidP="00AC0B7F">
      <w:pPr>
        <w:pStyle w:val="Piedepgina"/>
        <w:jc w:val="both"/>
        <w:rPr>
          <w:rFonts w:ascii="Verdana" w:hAnsi="Verdana" w:cs="Arial"/>
          <w:sz w:val="22"/>
          <w:szCs w:val="22"/>
        </w:rPr>
      </w:pPr>
      <w:r w:rsidRPr="00882A04">
        <w:rPr>
          <w:rFonts w:ascii="Verdana" w:hAnsi="Verdana" w:cs="Arial"/>
          <w:sz w:val="22"/>
          <w:szCs w:val="22"/>
        </w:rPr>
        <w:t xml:space="preserve">Tefnin, Roland, “Imagen e historia: Reflexiones sobre el uso documental de la imagen egipcia”, </w:t>
      </w:r>
      <w:r w:rsidRPr="00882A04">
        <w:rPr>
          <w:rFonts w:ascii="Verdana" w:hAnsi="Verdana" w:cs="Arial"/>
          <w:i/>
          <w:sz w:val="22"/>
          <w:szCs w:val="22"/>
        </w:rPr>
        <w:t>Chronique d´Egypte</w:t>
      </w:r>
      <w:r w:rsidRPr="00882A04">
        <w:rPr>
          <w:rFonts w:ascii="Verdana" w:hAnsi="Verdana" w:cs="Arial"/>
          <w:sz w:val="22"/>
          <w:szCs w:val="22"/>
        </w:rPr>
        <w:t xml:space="preserve"> 54, 1979, pp. 218-244.</w:t>
      </w:r>
    </w:p>
    <w:p w:rsidR="00AC0B7F" w:rsidRPr="00882A04" w:rsidRDefault="00AC0B7F" w:rsidP="00AC0B7F">
      <w:pPr>
        <w:ind w:left="709" w:hanging="709"/>
        <w:jc w:val="both"/>
        <w:rPr>
          <w:rFonts w:ascii="Verdana" w:hAnsi="Verdana" w:cs="Arial"/>
          <w:sz w:val="22"/>
          <w:szCs w:val="22"/>
          <w:lang w:val="fr-FR"/>
        </w:rPr>
      </w:pPr>
      <w:r w:rsidRPr="00882A04">
        <w:rPr>
          <w:rFonts w:ascii="Verdana" w:hAnsi="Verdana" w:cs="Arial"/>
          <w:sz w:val="22"/>
          <w:szCs w:val="22"/>
          <w:lang w:val="fr-FR"/>
        </w:rPr>
        <w:t xml:space="preserve">Wildung, Dietrich. “Continuity”, en </w:t>
      </w:r>
      <w:r w:rsidRPr="00882A04">
        <w:rPr>
          <w:rFonts w:ascii="Verdana" w:hAnsi="Verdana" w:cs="Arial"/>
          <w:i/>
          <w:sz w:val="22"/>
          <w:szCs w:val="22"/>
          <w:lang w:val="fr-FR"/>
        </w:rPr>
        <w:t>Egypt Renaissance</w:t>
      </w:r>
      <w:r w:rsidRPr="00882A04">
        <w:rPr>
          <w:rFonts w:ascii="Verdana" w:hAnsi="Verdana" w:cs="Arial"/>
          <w:sz w:val="22"/>
          <w:szCs w:val="22"/>
          <w:lang w:val="fr-FR"/>
        </w:rPr>
        <w:t>, pp. 33-35.</w:t>
      </w:r>
    </w:p>
    <w:p w:rsidR="00AC0B7F" w:rsidRPr="00882A04" w:rsidRDefault="00AC0B7F" w:rsidP="00AC0B7F">
      <w:pPr>
        <w:rPr>
          <w:rFonts w:ascii="Verdana" w:hAnsi="Verdana" w:cs="Arial"/>
          <w:b/>
          <w:sz w:val="22"/>
          <w:szCs w:val="22"/>
          <w:lang w:val="fr-FR"/>
        </w:rPr>
      </w:pPr>
    </w:p>
    <w:p w:rsidR="00AC0B7F" w:rsidRPr="00882A04" w:rsidRDefault="00AC0B7F" w:rsidP="00AC0B7F">
      <w:pPr>
        <w:rPr>
          <w:rFonts w:ascii="Verdana" w:hAnsi="Verdana" w:cs="Arial"/>
          <w:sz w:val="22"/>
          <w:szCs w:val="22"/>
          <w:lang w:val="fr-FR"/>
        </w:rPr>
      </w:pPr>
    </w:p>
    <w:p w:rsidR="00AC0B7F" w:rsidRPr="00882A04" w:rsidRDefault="00AC0B7F" w:rsidP="00AC0B7F">
      <w:pPr>
        <w:jc w:val="both"/>
        <w:rPr>
          <w:rFonts w:ascii="Verdana" w:hAnsi="Verdana" w:cs="Arial"/>
          <w:sz w:val="22"/>
          <w:szCs w:val="22"/>
        </w:rPr>
      </w:pPr>
      <w:r w:rsidRPr="00882A04">
        <w:rPr>
          <w:rFonts w:ascii="Verdana" w:hAnsi="Verdana" w:cs="Arial"/>
          <w:b/>
          <w:sz w:val="22"/>
          <w:szCs w:val="22"/>
        </w:rPr>
        <w:t>Unidad 2:</w:t>
      </w:r>
      <w:r w:rsidRPr="00882A04">
        <w:rPr>
          <w:rFonts w:ascii="Verdana" w:hAnsi="Verdana" w:cs="Arial"/>
          <w:sz w:val="22"/>
          <w:szCs w:val="22"/>
        </w:rPr>
        <w:t xml:space="preserve"> El Primer Período Intermedio como quiebre y el Reino Medio como Edad de oro: contrastes y continuidad modélica. Los intersticios o elementos residuales culturales. ¿Las autobiografías como continuidad o como ruptura? Las estelas de particulares: relaciones entre escritura e imagen. </w:t>
      </w:r>
      <w:r w:rsidR="00574D59" w:rsidRPr="00882A04">
        <w:rPr>
          <w:rFonts w:ascii="Verdana" w:hAnsi="Verdana" w:cs="Arial"/>
          <w:sz w:val="22"/>
          <w:szCs w:val="22"/>
        </w:rPr>
        <w:t>Coherencia ritual. De ritos a textos.</w:t>
      </w:r>
      <w:r w:rsidR="001F0A39" w:rsidRPr="00882A04">
        <w:rPr>
          <w:rFonts w:ascii="Verdana" w:hAnsi="Verdana" w:cs="Arial"/>
          <w:sz w:val="22"/>
          <w:szCs w:val="22"/>
        </w:rPr>
        <w:t xml:space="preserve"> La fórmula de ofrendas.</w:t>
      </w:r>
      <w:r w:rsidR="00FD714B" w:rsidRPr="00882A04">
        <w:rPr>
          <w:rFonts w:ascii="Verdana" w:hAnsi="Verdana" w:cs="Arial"/>
          <w:sz w:val="22"/>
          <w:szCs w:val="22"/>
        </w:rPr>
        <w:t xml:space="preserve"> La fórmula de Abidos.</w:t>
      </w:r>
      <w:r w:rsidR="00574D59" w:rsidRPr="00882A04">
        <w:rPr>
          <w:rFonts w:ascii="Verdana" w:hAnsi="Verdana" w:cs="Arial"/>
          <w:sz w:val="22"/>
          <w:szCs w:val="22"/>
        </w:rPr>
        <w:t xml:space="preserve"> </w:t>
      </w:r>
      <w:r w:rsidRPr="00882A04">
        <w:rPr>
          <w:rFonts w:ascii="Verdana" w:hAnsi="Verdana" w:cs="Arial"/>
          <w:sz w:val="22"/>
          <w:szCs w:val="22"/>
        </w:rPr>
        <w:t>La memoria cultural. La dinámica cultural vs. la tradición. Las manifestaciones de la ruptura y el conflicto.</w:t>
      </w:r>
    </w:p>
    <w:p w:rsidR="00AC0B7F" w:rsidRPr="00882A04" w:rsidRDefault="00AC0B7F" w:rsidP="00AC0B7F">
      <w:pPr>
        <w:rPr>
          <w:rFonts w:ascii="Verdana" w:hAnsi="Verdana" w:cs="Arial"/>
          <w:sz w:val="22"/>
          <w:szCs w:val="22"/>
        </w:rPr>
      </w:pPr>
    </w:p>
    <w:p w:rsidR="00AC0B7F" w:rsidRPr="00882A04" w:rsidRDefault="00AC0B7F" w:rsidP="00AC0B7F">
      <w:pPr>
        <w:rPr>
          <w:rFonts w:ascii="Verdana" w:hAnsi="Verdana" w:cs="Arial"/>
          <w:sz w:val="22"/>
          <w:szCs w:val="22"/>
        </w:rPr>
      </w:pPr>
      <w:r w:rsidRPr="00882A04">
        <w:rPr>
          <w:rFonts w:ascii="Verdana" w:hAnsi="Verdana" w:cs="Arial"/>
          <w:b/>
          <w:sz w:val="22"/>
          <w:szCs w:val="22"/>
        </w:rPr>
        <w:t xml:space="preserve">Fuentes: </w:t>
      </w:r>
      <w:r w:rsidRPr="00882A04">
        <w:rPr>
          <w:rFonts w:ascii="Verdana" w:hAnsi="Verdana" w:cs="Arial"/>
          <w:sz w:val="22"/>
          <w:szCs w:val="22"/>
        </w:rPr>
        <w:t xml:space="preserve">Autobiografías en tumbas.  </w:t>
      </w:r>
    </w:p>
    <w:p w:rsidR="00AC0B7F" w:rsidRPr="00882A04" w:rsidRDefault="00AC0B7F" w:rsidP="00AC0B7F">
      <w:pPr>
        <w:rPr>
          <w:rFonts w:ascii="Verdana" w:hAnsi="Verdana" w:cs="Arial"/>
          <w:sz w:val="22"/>
          <w:szCs w:val="22"/>
        </w:rPr>
      </w:pPr>
      <w:r w:rsidRPr="00882A04">
        <w:rPr>
          <w:rFonts w:ascii="Verdana" w:hAnsi="Verdana" w:cs="Arial"/>
          <w:sz w:val="22"/>
          <w:szCs w:val="22"/>
        </w:rPr>
        <w:t>Estelas de particulares del Primer Período Intermedio y del Reino Medio.</w:t>
      </w:r>
    </w:p>
    <w:p w:rsidR="00AC0B7F" w:rsidRPr="00882A04" w:rsidRDefault="00AC0B7F" w:rsidP="00AC0B7F">
      <w:pPr>
        <w:rPr>
          <w:rFonts w:ascii="Verdana" w:hAnsi="Verdana" w:cs="Arial"/>
          <w:sz w:val="22"/>
          <w:szCs w:val="22"/>
        </w:rPr>
      </w:pPr>
    </w:p>
    <w:p w:rsidR="00AC0B7F" w:rsidRPr="00882A04" w:rsidRDefault="00AC0B7F" w:rsidP="00AC0B7F">
      <w:pPr>
        <w:rPr>
          <w:rFonts w:ascii="Verdana" w:eastAsia="+mn-ea" w:hAnsi="Verdana" w:cs="Arial"/>
          <w:b/>
          <w:color w:val="404040"/>
          <w:kern w:val="24"/>
          <w:sz w:val="22"/>
          <w:szCs w:val="22"/>
          <w:lang w:val="en-US"/>
        </w:rPr>
      </w:pPr>
      <w:r w:rsidRPr="00882A04">
        <w:rPr>
          <w:rFonts w:ascii="Verdana" w:hAnsi="Verdana" w:cs="Arial"/>
          <w:b/>
          <w:sz w:val="22"/>
          <w:szCs w:val="22"/>
          <w:lang w:val="en-US"/>
        </w:rPr>
        <w:t>Bibliografía:</w:t>
      </w:r>
      <w:r w:rsidRPr="00882A04">
        <w:rPr>
          <w:rFonts w:ascii="Verdana" w:eastAsia="+mn-ea" w:hAnsi="Verdana" w:cs="Arial"/>
          <w:b/>
          <w:color w:val="404040"/>
          <w:kern w:val="24"/>
          <w:sz w:val="22"/>
          <w:szCs w:val="22"/>
          <w:lang w:val="en-US"/>
        </w:rPr>
        <w:t xml:space="preserve"> </w:t>
      </w:r>
    </w:p>
    <w:p w:rsidR="00AC0B7F" w:rsidRPr="00882A04" w:rsidRDefault="00AC0B7F" w:rsidP="00AC0B7F">
      <w:pPr>
        <w:ind w:left="709" w:hanging="709"/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/>
        </w:rPr>
        <w:lastRenderedPageBreak/>
        <w:t>Assmann, Aleida. “The history of the text before the era of literature: Three Comments”, en Moers. Gerald (ed.), Definitely: Egyptian literatura, Seminar für Ägyptologie und Koptologie: Gotinga, 1999, pp. 83-90.</w:t>
      </w:r>
    </w:p>
    <w:p w:rsidR="00AC0B7F" w:rsidRPr="00882A04" w:rsidRDefault="00AC0B7F" w:rsidP="00AC0B7F">
      <w:pPr>
        <w:ind w:left="709" w:hanging="709"/>
        <w:jc w:val="both"/>
        <w:rPr>
          <w:rFonts w:ascii="Verdana" w:hAnsi="Verdana" w:cs="Arial"/>
          <w:sz w:val="22"/>
          <w:szCs w:val="22"/>
        </w:rPr>
      </w:pPr>
      <w:r w:rsidRPr="00882A04">
        <w:rPr>
          <w:rFonts w:ascii="Verdana" w:hAnsi="Verdana" w:cs="Arial"/>
          <w:sz w:val="22"/>
          <w:szCs w:val="22"/>
        </w:rPr>
        <w:t xml:space="preserve">Assmann, Jan. </w:t>
      </w:r>
      <w:r w:rsidRPr="00882A04">
        <w:rPr>
          <w:rFonts w:ascii="Verdana" w:hAnsi="Verdana" w:cs="Arial"/>
          <w:i/>
          <w:sz w:val="22"/>
          <w:szCs w:val="22"/>
        </w:rPr>
        <w:t>Egipto: Historia de un sentido</w:t>
      </w:r>
      <w:r w:rsidRPr="00882A04">
        <w:rPr>
          <w:rFonts w:ascii="Verdana" w:hAnsi="Verdana" w:cs="Arial"/>
          <w:sz w:val="22"/>
          <w:szCs w:val="22"/>
        </w:rPr>
        <w:t>, Abada: Madrid, 2005 [1996].</w:t>
      </w:r>
    </w:p>
    <w:p w:rsidR="00AC0B7F" w:rsidRPr="00882A04" w:rsidRDefault="00AC0B7F" w:rsidP="00AC0B7F">
      <w:pPr>
        <w:ind w:left="709" w:hanging="709"/>
        <w:jc w:val="both"/>
        <w:rPr>
          <w:rFonts w:ascii="Verdana" w:hAnsi="Verdana" w:cs="Arial"/>
          <w:sz w:val="22"/>
          <w:szCs w:val="22"/>
        </w:rPr>
      </w:pPr>
      <w:r w:rsidRPr="00882A04">
        <w:rPr>
          <w:rFonts w:ascii="Verdana" w:hAnsi="Verdana" w:cs="Arial"/>
          <w:sz w:val="22"/>
          <w:szCs w:val="22"/>
        </w:rPr>
        <w:t xml:space="preserve">Assmann, Jan.  </w:t>
      </w:r>
      <w:r w:rsidRPr="00882A04">
        <w:rPr>
          <w:rFonts w:ascii="Verdana" w:hAnsi="Verdana" w:cs="Arial"/>
          <w:i/>
          <w:sz w:val="22"/>
          <w:szCs w:val="22"/>
        </w:rPr>
        <w:t>Historia y mito en el mundo antiguo. Los orígenes de la cultura en Egipto, Israel y Grecia</w:t>
      </w:r>
      <w:r w:rsidRPr="00882A04">
        <w:rPr>
          <w:rFonts w:ascii="Verdana" w:hAnsi="Verdana" w:cs="Arial"/>
          <w:sz w:val="22"/>
          <w:szCs w:val="22"/>
        </w:rPr>
        <w:t>, Gredos: Madrid, 2011, pp. 83-120.</w:t>
      </w:r>
    </w:p>
    <w:p w:rsidR="00AC0B7F" w:rsidRPr="00882A04" w:rsidRDefault="00AC0B7F" w:rsidP="00AC0B7F">
      <w:pPr>
        <w:ind w:left="709" w:hanging="709"/>
        <w:jc w:val="both"/>
        <w:rPr>
          <w:rFonts w:ascii="Verdana" w:hAnsi="Verdana" w:cs="Arial"/>
          <w:sz w:val="22"/>
          <w:szCs w:val="22"/>
        </w:rPr>
      </w:pPr>
      <w:r w:rsidRPr="00882A04">
        <w:rPr>
          <w:rFonts w:ascii="Verdana" w:hAnsi="Verdana" w:cs="Arial"/>
          <w:sz w:val="22"/>
          <w:szCs w:val="22"/>
        </w:rPr>
        <w:t xml:space="preserve">Assmann, Jan. </w:t>
      </w:r>
      <w:r w:rsidRPr="00882A04">
        <w:rPr>
          <w:rFonts w:ascii="Verdana" w:hAnsi="Verdana" w:cs="Arial"/>
          <w:i/>
          <w:sz w:val="22"/>
          <w:szCs w:val="22"/>
        </w:rPr>
        <w:t>Religión y memoria cultural</w:t>
      </w:r>
      <w:r w:rsidRPr="00882A04">
        <w:rPr>
          <w:rFonts w:ascii="Verdana" w:hAnsi="Verdana" w:cs="Arial"/>
          <w:sz w:val="22"/>
          <w:szCs w:val="22"/>
        </w:rPr>
        <w:t>, Lilmod: Buenos Aires, 2008, pp.17-87.</w:t>
      </w:r>
    </w:p>
    <w:p w:rsidR="00FD714B" w:rsidRPr="00882A04" w:rsidRDefault="00FD714B" w:rsidP="00FD714B">
      <w:pPr>
        <w:ind w:left="709" w:hanging="709"/>
        <w:jc w:val="both"/>
        <w:rPr>
          <w:rFonts w:ascii="Verdana" w:hAnsi="Verdana" w:cs="Arial"/>
          <w:sz w:val="22"/>
          <w:szCs w:val="22"/>
        </w:rPr>
      </w:pPr>
      <w:r w:rsidRPr="00882A04">
        <w:rPr>
          <w:rFonts w:ascii="Verdana" w:hAnsi="Verdana" w:cs="Arial"/>
          <w:sz w:val="22"/>
          <w:szCs w:val="22"/>
        </w:rPr>
        <w:t xml:space="preserve">Cervelló Autuori, Josep, A vueltas con la teoría de la «democratización» del más allá tras el Reino Antiguo. Algunas ideas, </w:t>
      </w:r>
      <w:r w:rsidRPr="00882A04">
        <w:rPr>
          <w:rFonts w:ascii="Verdana" w:hAnsi="Verdana" w:cs="Arial"/>
          <w:i/>
          <w:sz w:val="22"/>
          <w:szCs w:val="22"/>
        </w:rPr>
        <w:t xml:space="preserve">ISIMU. Revista sobre Oriente Próximo y Egipto en la antigüedad </w:t>
      </w:r>
      <w:r w:rsidRPr="00882A04">
        <w:rPr>
          <w:rFonts w:ascii="Verdana" w:hAnsi="Verdana" w:cs="Arial"/>
          <w:sz w:val="22"/>
          <w:szCs w:val="22"/>
        </w:rPr>
        <w:t>18, 2016, pp. 91-102.</w:t>
      </w:r>
    </w:p>
    <w:p w:rsidR="00AC0B7F" w:rsidRPr="00882A04" w:rsidRDefault="00AC0B7F" w:rsidP="00AC0B7F">
      <w:pPr>
        <w:ind w:left="709" w:hanging="709"/>
        <w:jc w:val="both"/>
        <w:rPr>
          <w:rFonts w:ascii="Verdana" w:hAnsi="Verdana" w:cs="Arial"/>
          <w:sz w:val="22"/>
          <w:szCs w:val="22"/>
        </w:rPr>
      </w:pPr>
      <w:r w:rsidRPr="00882A04">
        <w:rPr>
          <w:rFonts w:ascii="Verdana" w:hAnsi="Verdana" w:cs="Arial"/>
          <w:sz w:val="22"/>
          <w:szCs w:val="22"/>
          <w:lang w:val="en-US"/>
        </w:rPr>
        <w:t xml:space="preserve">Collier, Mark y Bill Manley. </w:t>
      </w:r>
      <w:r w:rsidR="00FD714B" w:rsidRPr="00882A04">
        <w:rPr>
          <w:rFonts w:ascii="Verdana" w:hAnsi="Verdana" w:cs="Arial"/>
          <w:bCs/>
          <w:i/>
          <w:sz w:val="22"/>
          <w:szCs w:val="22"/>
        </w:rPr>
        <w:t>Introducción a los jeroglíficos</w:t>
      </w:r>
      <w:r w:rsidR="00FD714B" w:rsidRPr="00882A04">
        <w:rPr>
          <w:rFonts w:ascii="Verdana" w:hAnsi="Verdana" w:cs="Arial"/>
          <w:i/>
          <w:sz w:val="22"/>
          <w:szCs w:val="22"/>
          <w:shd w:val="clear" w:color="auto" w:fill="FFFFFF"/>
        </w:rPr>
        <w:t> egipcios</w:t>
      </w:r>
      <w:r w:rsidRPr="00882A04">
        <w:rPr>
          <w:rFonts w:ascii="Verdana" w:hAnsi="Verdana" w:cs="Arial"/>
          <w:i/>
          <w:sz w:val="22"/>
          <w:szCs w:val="22"/>
        </w:rPr>
        <w:t xml:space="preserve">, </w:t>
      </w:r>
      <w:r w:rsidR="00FD714B" w:rsidRPr="00882A04">
        <w:rPr>
          <w:rFonts w:ascii="Verdana" w:hAnsi="Verdana" w:cs="Arial"/>
          <w:sz w:val="22"/>
          <w:szCs w:val="22"/>
        </w:rPr>
        <w:t>Alianza editorial, Madrid, 2013.</w:t>
      </w:r>
      <w:r w:rsidRPr="00882A04">
        <w:rPr>
          <w:rFonts w:ascii="Verdana" w:hAnsi="Verdana" w:cs="Arial"/>
          <w:sz w:val="22"/>
          <w:szCs w:val="22"/>
        </w:rPr>
        <w:t>.</w:t>
      </w:r>
    </w:p>
    <w:p w:rsidR="00AC0B7F" w:rsidRPr="00882A04" w:rsidRDefault="00AC0B7F" w:rsidP="00AC0B7F">
      <w:pPr>
        <w:ind w:left="709" w:hanging="709"/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/>
        </w:rPr>
        <w:t>Franke, Detlef. Ed. Por Marcel Marée. Egyptian Stelae in the British Museum from the 13th to 17th Dynasties, The British Museum: Londres, 2013.</w:t>
      </w:r>
    </w:p>
    <w:p w:rsidR="00AC0B7F" w:rsidRPr="00882A04" w:rsidRDefault="00AC0B7F" w:rsidP="001F0A39">
      <w:pPr>
        <w:tabs>
          <w:tab w:val="left" w:pos="6300"/>
        </w:tabs>
        <w:ind w:left="6299" w:hanging="6299"/>
        <w:jc w:val="both"/>
        <w:rPr>
          <w:rFonts w:ascii="Verdana" w:hAnsi="Verdana" w:cs="Arial"/>
          <w:bCs/>
          <w:sz w:val="22"/>
          <w:szCs w:val="22"/>
          <w:lang w:val="en-GB"/>
        </w:rPr>
      </w:pPr>
      <w:r w:rsidRPr="00882A04">
        <w:rPr>
          <w:rFonts w:ascii="Verdana" w:hAnsi="Verdana" w:cs="Arial"/>
          <w:bCs/>
          <w:sz w:val="22"/>
          <w:szCs w:val="22"/>
          <w:lang w:val="de-DE"/>
        </w:rPr>
        <w:t xml:space="preserve">Lange, H. O.  y H. Schafer. </w:t>
      </w:r>
      <w:r w:rsidRPr="00882A04">
        <w:rPr>
          <w:rFonts w:ascii="Verdana" w:hAnsi="Verdana" w:cs="Arial"/>
          <w:bCs/>
          <w:i/>
          <w:sz w:val="22"/>
          <w:szCs w:val="22"/>
          <w:lang w:val="de-DE"/>
        </w:rPr>
        <w:t>Grab und Denksteined es Mittleren Reichs im Museum von Kairo</w:t>
      </w:r>
      <w:r w:rsidRPr="00882A04">
        <w:rPr>
          <w:rFonts w:ascii="Verdana" w:hAnsi="Verdana" w:cs="Arial"/>
          <w:bCs/>
          <w:sz w:val="22"/>
          <w:szCs w:val="22"/>
          <w:lang w:val="de-DE"/>
        </w:rPr>
        <w:t xml:space="preserve">. </w:t>
      </w:r>
      <w:r w:rsidRPr="00882A04">
        <w:rPr>
          <w:rFonts w:ascii="Verdana" w:hAnsi="Verdana" w:cs="Arial"/>
          <w:bCs/>
          <w:sz w:val="22"/>
          <w:szCs w:val="22"/>
          <w:lang w:val="en-GB"/>
        </w:rPr>
        <w:t>Berlin, 1902.</w:t>
      </w:r>
    </w:p>
    <w:p w:rsidR="00AC0B7F" w:rsidRPr="00882A04" w:rsidRDefault="00AC0B7F" w:rsidP="00AC0B7F">
      <w:pPr>
        <w:ind w:left="709" w:hanging="709"/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/>
        </w:rPr>
        <w:t xml:space="preserve">Schoske, Sylvia. “The Middle Kingdom, Egypt´s ‘Golden Age’”, en </w:t>
      </w:r>
      <w:r w:rsidRPr="00882A04">
        <w:rPr>
          <w:rFonts w:ascii="Verdana" w:hAnsi="Verdana" w:cs="Arial"/>
          <w:i/>
          <w:sz w:val="22"/>
          <w:szCs w:val="22"/>
          <w:lang w:val="en-US"/>
        </w:rPr>
        <w:t>Egypt Renaissance</w:t>
      </w:r>
      <w:r w:rsidRPr="00882A04">
        <w:rPr>
          <w:rFonts w:ascii="Verdana" w:hAnsi="Verdana" w:cs="Arial"/>
          <w:sz w:val="22"/>
          <w:szCs w:val="22"/>
          <w:lang w:val="en-US"/>
        </w:rPr>
        <w:t>, pp. 45-53.</w:t>
      </w:r>
    </w:p>
    <w:p w:rsidR="00AC0B7F" w:rsidRPr="00882A04" w:rsidRDefault="00AC0B7F" w:rsidP="00AC0B7F">
      <w:pPr>
        <w:ind w:left="709" w:hanging="709"/>
        <w:jc w:val="both"/>
        <w:rPr>
          <w:rFonts w:ascii="Verdana" w:hAnsi="Verdana" w:cs="Arial"/>
          <w:sz w:val="22"/>
          <w:szCs w:val="22"/>
        </w:rPr>
      </w:pPr>
      <w:r w:rsidRPr="00882A04">
        <w:rPr>
          <w:rFonts w:ascii="Verdana" w:hAnsi="Verdana" w:cs="Arial"/>
          <w:sz w:val="22"/>
          <w:szCs w:val="22"/>
        </w:rPr>
        <w:t>Williams, Raymond.</w:t>
      </w:r>
      <w:r w:rsidRPr="00882A04">
        <w:rPr>
          <w:rStyle w:val="WW8Num2z0"/>
          <w:rFonts w:ascii="Verdana" w:hAnsi="Verdana"/>
          <w:i/>
          <w:iCs/>
          <w:sz w:val="22"/>
          <w:szCs w:val="22"/>
          <w:shd w:val="clear" w:color="auto" w:fill="FFFFFF"/>
        </w:rPr>
        <w:t></w:t>
      </w:r>
      <w:r w:rsidRPr="00882A04">
        <w:rPr>
          <w:rFonts w:ascii="Verdana" w:hAnsi="Verdana" w:cs="Arial"/>
          <w:bCs/>
          <w:i/>
          <w:sz w:val="22"/>
          <w:szCs w:val="22"/>
        </w:rPr>
        <w:t>Marxismo y literatura</w:t>
      </w:r>
      <w:r w:rsidRPr="00882A04">
        <w:rPr>
          <w:rFonts w:ascii="Verdana" w:hAnsi="Verdana" w:cs="Arial"/>
          <w:sz w:val="22"/>
          <w:szCs w:val="22"/>
          <w:shd w:val="clear" w:color="auto" w:fill="FFFFFF"/>
        </w:rPr>
        <w:t xml:space="preserve">, Península: Barcelona, </w:t>
      </w:r>
      <w:r w:rsidRPr="00882A04">
        <w:rPr>
          <w:rFonts w:ascii="Verdana" w:hAnsi="Verdana" w:cs="Arial"/>
          <w:sz w:val="22"/>
          <w:szCs w:val="22"/>
        </w:rPr>
        <w:t>2009 [1977], esp. pp. 165-174.</w:t>
      </w:r>
    </w:p>
    <w:p w:rsidR="00AC0B7F" w:rsidRPr="00882A04" w:rsidRDefault="00AC0B7F" w:rsidP="00AC0B7F">
      <w:pPr>
        <w:rPr>
          <w:rFonts w:ascii="Verdana" w:hAnsi="Verdana" w:cs="Arial"/>
          <w:sz w:val="22"/>
          <w:szCs w:val="22"/>
        </w:rPr>
      </w:pPr>
    </w:p>
    <w:p w:rsidR="00AC0B7F" w:rsidRPr="00882A04" w:rsidRDefault="00AC0B7F" w:rsidP="00AC0B7F">
      <w:pPr>
        <w:jc w:val="both"/>
        <w:rPr>
          <w:rFonts w:ascii="Verdana" w:hAnsi="Verdana" w:cs="Arial"/>
          <w:sz w:val="22"/>
          <w:szCs w:val="22"/>
        </w:rPr>
      </w:pPr>
      <w:r w:rsidRPr="00882A04">
        <w:rPr>
          <w:rFonts w:ascii="Verdana" w:hAnsi="Verdana" w:cs="Arial"/>
          <w:sz w:val="22"/>
          <w:szCs w:val="22"/>
        </w:rPr>
        <w:t xml:space="preserve">Unidad 3: Amarna como período intersticial. Las continuidades y los nuevos simbolismos. Ritual y mito: su representación. Realismo vs. Formas estereotipadas. La introducción del neo-egipcio en las inscripciones: ¿un elemento innovador? Alteraciones iconográficas. </w:t>
      </w:r>
      <w:r w:rsidR="005D2568" w:rsidRPr="00882A04">
        <w:rPr>
          <w:rFonts w:ascii="Verdana" w:hAnsi="Verdana" w:cs="Arial"/>
          <w:sz w:val="22"/>
          <w:szCs w:val="22"/>
        </w:rPr>
        <w:t>Violencia ritual.</w:t>
      </w:r>
      <w:r w:rsidR="00882A04" w:rsidRPr="00882A04">
        <w:rPr>
          <w:rFonts w:ascii="Verdana" w:hAnsi="Verdana" w:cs="Arial"/>
          <w:sz w:val="22"/>
          <w:szCs w:val="22"/>
        </w:rPr>
        <w:t xml:space="preserve"> </w:t>
      </w:r>
      <w:r w:rsidR="005D2568" w:rsidRPr="00882A04">
        <w:rPr>
          <w:rFonts w:ascii="Verdana" w:hAnsi="Verdana" w:cs="Arial"/>
          <w:sz w:val="22"/>
          <w:szCs w:val="22"/>
        </w:rPr>
        <w:t>Violencia sacrificial.</w:t>
      </w:r>
    </w:p>
    <w:p w:rsidR="00AC0B7F" w:rsidRPr="00882A04" w:rsidRDefault="00AC0B7F" w:rsidP="00AC0B7F">
      <w:pPr>
        <w:rPr>
          <w:rFonts w:ascii="Verdana" w:hAnsi="Verdana" w:cs="Arial"/>
          <w:sz w:val="22"/>
          <w:szCs w:val="22"/>
        </w:rPr>
      </w:pPr>
    </w:p>
    <w:p w:rsidR="00AC0B7F" w:rsidRPr="00882A04" w:rsidRDefault="00AC0B7F" w:rsidP="00AC0B7F">
      <w:pPr>
        <w:rPr>
          <w:rFonts w:ascii="Verdana" w:hAnsi="Verdana" w:cs="Arial"/>
          <w:sz w:val="22"/>
          <w:szCs w:val="22"/>
        </w:rPr>
      </w:pPr>
      <w:r w:rsidRPr="00882A04">
        <w:rPr>
          <w:rFonts w:ascii="Verdana" w:hAnsi="Verdana" w:cs="Arial"/>
          <w:b/>
          <w:sz w:val="22"/>
          <w:szCs w:val="22"/>
        </w:rPr>
        <w:t xml:space="preserve">Fuentes: </w:t>
      </w:r>
      <w:r w:rsidRPr="00882A04">
        <w:rPr>
          <w:rFonts w:ascii="Verdana" w:hAnsi="Verdana" w:cs="Arial"/>
          <w:sz w:val="22"/>
          <w:szCs w:val="22"/>
        </w:rPr>
        <w:t>Escenas e inscripciones de el-Amarna.</w:t>
      </w:r>
    </w:p>
    <w:p w:rsidR="00AC0B7F" w:rsidRPr="00882A04" w:rsidRDefault="00AC0B7F" w:rsidP="00AC0B7F">
      <w:pPr>
        <w:rPr>
          <w:rFonts w:ascii="Verdana" w:hAnsi="Verdana" w:cs="Arial"/>
          <w:sz w:val="22"/>
          <w:szCs w:val="22"/>
        </w:rPr>
      </w:pPr>
    </w:p>
    <w:p w:rsidR="00AC0B7F" w:rsidRPr="00882A04" w:rsidRDefault="00AC0B7F" w:rsidP="00AC0B7F">
      <w:pPr>
        <w:rPr>
          <w:rFonts w:ascii="Verdana" w:hAnsi="Verdana" w:cs="Arial"/>
          <w:b/>
          <w:bCs/>
          <w:color w:val="000000"/>
          <w:sz w:val="22"/>
          <w:szCs w:val="22"/>
          <w:lang w:val="fr-FR"/>
        </w:rPr>
      </w:pPr>
      <w:r w:rsidRPr="00882A04">
        <w:rPr>
          <w:rFonts w:ascii="Verdana" w:hAnsi="Verdana" w:cs="Arial"/>
          <w:b/>
          <w:sz w:val="22"/>
          <w:szCs w:val="22"/>
          <w:lang w:val="fr-FR"/>
        </w:rPr>
        <w:t>Bibliografía:</w:t>
      </w:r>
      <w:r w:rsidRPr="00882A04">
        <w:rPr>
          <w:rFonts w:ascii="Verdana" w:hAnsi="Verdana" w:cs="Arial"/>
          <w:b/>
          <w:bCs/>
          <w:color w:val="000000"/>
          <w:sz w:val="22"/>
          <w:szCs w:val="22"/>
          <w:lang w:val="fr-FR"/>
        </w:rPr>
        <w:t xml:space="preserve"> </w:t>
      </w:r>
    </w:p>
    <w:p w:rsidR="00AC0B7F" w:rsidRPr="00882A04" w:rsidRDefault="00AC0B7F" w:rsidP="00AC0B7F">
      <w:pPr>
        <w:ind w:left="709" w:hanging="709"/>
        <w:rPr>
          <w:rFonts w:ascii="Verdana" w:hAnsi="Verdana" w:cs="Arial"/>
          <w:sz w:val="22"/>
          <w:szCs w:val="22"/>
          <w:lang w:val="fr-FR"/>
        </w:rPr>
      </w:pPr>
      <w:r w:rsidRPr="00882A04">
        <w:rPr>
          <w:rFonts w:ascii="Verdana" w:hAnsi="Verdana" w:cs="Arial"/>
          <w:sz w:val="22"/>
          <w:szCs w:val="22"/>
          <w:lang w:val="fr-FR"/>
        </w:rPr>
        <w:t xml:space="preserve">Angenot, Valerie, “La parallaxe dans l'iconographie d'Akhenaton », </w:t>
      </w:r>
      <w:r w:rsidRPr="00882A04">
        <w:rPr>
          <w:rFonts w:ascii="Verdana" w:hAnsi="Verdana" w:cs="Arial"/>
          <w:i/>
          <w:sz w:val="22"/>
          <w:szCs w:val="22"/>
          <w:lang w:val="fr-FR"/>
        </w:rPr>
        <w:t>Bulletin de la Société Française d'Égyptologie</w:t>
      </w:r>
      <w:r w:rsidRPr="00882A04">
        <w:rPr>
          <w:rFonts w:ascii="Verdana" w:hAnsi="Verdana" w:cs="Arial"/>
          <w:sz w:val="22"/>
          <w:szCs w:val="22"/>
          <w:lang w:val="fr-FR"/>
        </w:rPr>
        <w:t>, 171, 2008, pp. 28-50.</w:t>
      </w:r>
    </w:p>
    <w:p w:rsidR="00AC0B7F" w:rsidRPr="00882A04" w:rsidRDefault="00AC0B7F" w:rsidP="00AC0B7F">
      <w:pPr>
        <w:ind w:left="709" w:hanging="709"/>
        <w:jc w:val="both"/>
        <w:rPr>
          <w:rFonts w:ascii="Verdana" w:hAnsi="Verdana" w:cs="Arial"/>
          <w:sz w:val="22"/>
          <w:szCs w:val="22"/>
        </w:rPr>
      </w:pPr>
      <w:r w:rsidRPr="00882A04">
        <w:rPr>
          <w:rFonts w:ascii="Verdana" w:hAnsi="Verdana" w:cs="Arial"/>
          <w:bCs/>
          <w:color w:val="000000"/>
          <w:sz w:val="22"/>
          <w:szCs w:val="22"/>
        </w:rPr>
        <w:t>Behnk, Frida</w:t>
      </w:r>
      <w:r w:rsidRPr="00882A04">
        <w:rPr>
          <w:rFonts w:ascii="Verdana" w:hAnsi="Verdana" w:cs="Arial"/>
          <w:color w:val="000000"/>
          <w:sz w:val="22"/>
          <w:szCs w:val="22"/>
        </w:rPr>
        <w:t xml:space="preserve">, </w:t>
      </w:r>
      <w:r w:rsidRPr="00882A04">
        <w:rPr>
          <w:rFonts w:ascii="Verdana" w:hAnsi="Verdana" w:cs="Arial"/>
          <w:i/>
          <w:color w:val="000000"/>
          <w:sz w:val="22"/>
          <w:szCs w:val="22"/>
        </w:rPr>
        <w:t>Grammatik der texte aus El Amarna</w:t>
      </w:r>
      <w:r w:rsidRPr="00882A04">
        <w:rPr>
          <w:rFonts w:ascii="Verdana" w:hAnsi="Verdana" w:cs="Arial"/>
          <w:color w:val="000000"/>
          <w:sz w:val="22"/>
          <w:szCs w:val="22"/>
        </w:rPr>
        <w:t>, Geuthner: París, 1930.</w:t>
      </w:r>
      <w:r w:rsidRPr="00882A04">
        <w:rPr>
          <w:rFonts w:ascii="Verdana" w:hAnsi="Verdana" w:cs="Arial"/>
          <w:sz w:val="22"/>
          <w:szCs w:val="22"/>
        </w:rPr>
        <w:t xml:space="preserve"> Traducción al inglés de Edmund S. Meltzer, 1975.</w:t>
      </w:r>
    </w:p>
    <w:p w:rsidR="00AC0B7F" w:rsidRPr="00882A04" w:rsidRDefault="00AC0B7F" w:rsidP="00AC0B7F">
      <w:pPr>
        <w:ind w:left="709" w:hanging="709"/>
        <w:jc w:val="both"/>
        <w:rPr>
          <w:rFonts w:ascii="Verdana" w:hAnsi="Verdana" w:cs="Arial"/>
          <w:sz w:val="22"/>
          <w:szCs w:val="22"/>
          <w:shd w:val="clear" w:color="auto" w:fill="FFFFFF"/>
        </w:rPr>
      </w:pPr>
      <w:r w:rsidRPr="00882A04">
        <w:rPr>
          <w:rFonts w:ascii="Verdana" w:hAnsi="Verdana" w:cs="Arial"/>
          <w:bCs/>
          <w:sz w:val="22"/>
          <w:szCs w:val="22"/>
        </w:rPr>
        <w:t xml:space="preserve">Chapot, Gisela, </w:t>
      </w:r>
      <w:r w:rsidRPr="00882A04">
        <w:rPr>
          <w:rFonts w:ascii="Verdana" w:hAnsi="Verdana" w:cs="Arial"/>
          <w:i/>
          <w:sz w:val="22"/>
          <w:szCs w:val="22"/>
          <w:shd w:val="clear" w:color="auto" w:fill="FFFFFF"/>
        </w:rPr>
        <w:t>O senhor da ordenação: um estudo da relação entre o faraó. Akhenaton e as oferendas divinas e funerárias durante a Reforma de </w:t>
      </w:r>
      <w:r w:rsidRPr="00882A04">
        <w:rPr>
          <w:rStyle w:val="nfasis"/>
          <w:rFonts w:ascii="Verdana" w:hAnsi="Verdana" w:cs="Arial"/>
          <w:i/>
          <w:iCs/>
          <w:sz w:val="22"/>
          <w:szCs w:val="22"/>
          <w:shd w:val="clear" w:color="auto" w:fill="FFFFFF"/>
        </w:rPr>
        <w:t>Amarna</w:t>
      </w:r>
      <w:r w:rsidRPr="00882A04">
        <w:rPr>
          <w:rFonts w:ascii="Verdana" w:hAnsi="Verdana" w:cs="Arial"/>
          <w:i/>
          <w:sz w:val="22"/>
          <w:szCs w:val="22"/>
          <w:shd w:val="clear" w:color="auto" w:fill="FFFFFF"/>
        </w:rPr>
        <w:t> (1353-1335 a. C.)</w:t>
      </w:r>
      <w:r w:rsidRPr="00882A04">
        <w:rPr>
          <w:rFonts w:ascii="Verdana" w:hAnsi="Verdana" w:cs="Arial"/>
          <w:sz w:val="22"/>
          <w:szCs w:val="22"/>
          <w:shd w:val="clear" w:color="auto" w:fill="FFFFFF"/>
        </w:rPr>
        <w:t>, Disertación de Maestrado. Universidad Federal Fluminense, 2007, esp. pp. 90 ss.</w:t>
      </w:r>
    </w:p>
    <w:p w:rsidR="00AC0B7F" w:rsidRPr="00882A04" w:rsidRDefault="00AC0B7F" w:rsidP="00AC0B7F">
      <w:pPr>
        <w:ind w:left="709" w:hanging="709"/>
        <w:jc w:val="both"/>
        <w:rPr>
          <w:rFonts w:ascii="Verdana" w:hAnsi="Verdana" w:cs="Arial"/>
          <w:bCs/>
          <w:color w:val="000000"/>
          <w:sz w:val="22"/>
          <w:szCs w:val="22"/>
          <w:lang w:val="en-US"/>
        </w:rPr>
      </w:pPr>
      <w:r w:rsidRPr="00882A04">
        <w:rPr>
          <w:rFonts w:ascii="Verdana" w:hAnsi="Verdana" w:cs="Arial"/>
          <w:bCs/>
          <w:sz w:val="22"/>
          <w:szCs w:val="22"/>
        </w:rPr>
        <w:t xml:space="preserve">Chapot, Gisela, </w:t>
      </w:r>
      <w:r w:rsidRPr="00882A04">
        <w:rPr>
          <w:rFonts w:ascii="Verdana" w:hAnsi="Verdana" w:cs="Arial"/>
          <w:color w:val="282828"/>
          <w:sz w:val="22"/>
          <w:szCs w:val="22"/>
          <w:shd w:val="clear" w:color="auto" w:fill="FFFFFF"/>
        </w:rPr>
        <w:t>“A Família Real Amarniana e a Construção de Uma Nova Visão de Mundo Durante o Reinado de Akhenaton (1353-1335 a.C.)”, Tesis doctoral.</w:t>
      </w:r>
      <w:r w:rsidRPr="00882A04">
        <w:rPr>
          <w:rFonts w:ascii="Verdana" w:hAnsi="Verdana" w:cs="Arial"/>
          <w:sz w:val="22"/>
          <w:szCs w:val="22"/>
          <w:shd w:val="clear" w:color="auto" w:fill="FFFFFF"/>
        </w:rPr>
        <w:t xml:space="preserve"> </w:t>
      </w:r>
      <w:r w:rsidRPr="00882A04">
        <w:rPr>
          <w:rFonts w:ascii="Verdana" w:hAnsi="Verdana" w:cs="Arial"/>
          <w:sz w:val="22"/>
          <w:szCs w:val="22"/>
          <w:shd w:val="clear" w:color="auto" w:fill="FFFFFF"/>
          <w:lang w:val="en-US"/>
        </w:rPr>
        <w:t>Universidad Federal Fluminense, 2015, pp. 116-165.</w:t>
      </w:r>
    </w:p>
    <w:p w:rsidR="00AC0B7F" w:rsidRPr="00882A04" w:rsidRDefault="00AC0B7F" w:rsidP="00AC0B7F">
      <w:pPr>
        <w:ind w:left="709" w:hanging="709"/>
        <w:jc w:val="both"/>
        <w:rPr>
          <w:rFonts w:ascii="Verdana" w:hAnsi="Verdana" w:cs="Arial"/>
          <w:b/>
          <w:bCs/>
          <w:color w:val="000000"/>
          <w:sz w:val="22"/>
          <w:szCs w:val="22"/>
          <w:lang w:val="en-US"/>
        </w:rPr>
      </w:pPr>
      <w:r w:rsidRPr="00882A04">
        <w:rPr>
          <w:rFonts w:ascii="Verdana" w:hAnsi="Verdana" w:cs="Arial"/>
          <w:bCs/>
          <w:color w:val="000000"/>
          <w:sz w:val="22"/>
          <w:szCs w:val="22"/>
          <w:lang w:val="en-US"/>
        </w:rPr>
        <w:t xml:space="preserve">Davies, </w:t>
      </w:r>
      <w:r w:rsidRPr="00882A04">
        <w:rPr>
          <w:rStyle w:val="bodytexto"/>
          <w:rFonts w:ascii="Verdana" w:hAnsi="Verdana" w:cs="Arial"/>
          <w:bCs/>
          <w:color w:val="000000"/>
          <w:sz w:val="22"/>
          <w:szCs w:val="22"/>
          <w:lang w:val="en-US"/>
        </w:rPr>
        <w:t>Norman de Garis,</w:t>
      </w:r>
      <w:r w:rsidRPr="00882A04">
        <w:rPr>
          <w:rStyle w:val="bodytexto"/>
          <w:rFonts w:ascii="Verdana" w:hAnsi="Verdana" w:cs="Arial"/>
          <w:b/>
          <w:bCs/>
          <w:color w:val="000000"/>
          <w:sz w:val="22"/>
          <w:szCs w:val="22"/>
          <w:lang w:val="en-US"/>
        </w:rPr>
        <w:t xml:space="preserve"> </w:t>
      </w:r>
      <w:r w:rsidRPr="00882A04">
        <w:rPr>
          <w:rStyle w:val="bodytexto"/>
          <w:rFonts w:ascii="Verdana" w:hAnsi="Verdana" w:cs="Arial"/>
          <w:i/>
          <w:color w:val="000000"/>
          <w:sz w:val="22"/>
          <w:szCs w:val="22"/>
          <w:lang w:val="en-US"/>
        </w:rPr>
        <w:t>The Rock Tombs of El Amarna</w:t>
      </w:r>
      <w:r w:rsidRPr="00882A04">
        <w:rPr>
          <w:rFonts w:ascii="Verdana" w:hAnsi="Verdana" w:cs="Arial"/>
          <w:b/>
          <w:bCs/>
          <w:color w:val="000000"/>
          <w:sz w:val="22"/>
          <w:szCs w:val="22"/>
          <w:lang w:val="en-US"/>
        </w:rPr>
        <w:t xml:space="preserve">, </w:t>
      </w:r>
      <w:r w:rsidRPr="00882A04">
        <w:rPr>
          <w:rStyle w:val="bodytexto"/>
          <w:rFonts w:ascii="Verdana" w:hAnsi="Verdana" w:cs="Arial"/>
          <w:color w:val="000000"/>
          <w:sz w:val="22"/>
          <w:szCs w:val="22"/>
          <w:lang w:val="en-US"/>
        </w:rPr>
        <w:t>Egypt Exploration Fund: Londres, 1903-1908, 6 volúmenes:</w:t>
      </w:r>
    </w:p>
    <w:p w:rsidR="00AC0B7F" w:rsidRPr="00882A04" w:rsidRDefault="00AC0B7F" w:rsidP="005D2568">
      <w:pPr>
        <w:ind w:left="709" w:hanging="1"/>
        <w:rPr>
          <w:rFonts w:ascii="Verdana" w:hAnsi="Verdana" w:cs="Arial"/>
          <w:color w:val="000000"/>
          <w:sz w:val="22"/>
          <w:szCs w:val="22"/>
          <w:lang w:val="en-US"/>
        </w:rPr>
      </w:pPr>
      <w:r w:rsidRPr="00882A04">
        <w:rPr>
          <w:rFonts w:ascii="Verdana" w:hAnsi="Verdana" w:cs="Arial"/>
          <w:color w:val="000000"/>
          <w:sz w:val="22"/>
          <w:szCs w:val="22"/>
          <w:lang w:val="en-US"/>
        </w:rPr>
        <w:t>- 1.The Tomb of Maryra </w:t>
      </w:r>
      <w:r w:rsidRPr="00882A04">
        <w:rPr>
          <w:rFonts w:ascii="Verdana" w:hAnsi="Verdana" w:cs="Arial"/>
          <w:color w:val="000000"/>
          <w:sz w:val="22"/>
          <w:szCs w:val="22"/>
          <w:lang w:val="en-US"/>
        </w:rPr>
        <w:br/>
        <w:t>- 2.The Tombs of Panehesy and Maryra II </w:t>
      </w:r>
      <w:r w:rsidRPr="00882A04">
        <w:rPr>
          <w:rFonts w:ascii="Verdana" w:hAnsi="Verdana" w:cs="Arial"/>
          <w:color w:val="000000"/>
          <w:sz w:val="22"/>
          <w:szCs w:val="22"/>
          <w:lang w:val="en-US"/>
        </w:rPr>
        <w:br/>
        <w:t>- 3.The Tombs of Huya and Ahmes </w:t>
      </w:r>
      <w:r w:rsidRPr="00882A04">
        <w:rPr>
          <w:rFonts w:ascii="Verdana" w:hAnsi="Verdana" w:cs="Arial"/>
          <w:color w:val="000000"/>
          <w:sz w:val="22"/>
          <w:szCs w:val="22"/>
          <w:lang w:val="en-US"/>
        </w:rPr>
        <w:br/>
        <w:t>- 4.The Tombs of Penthu Mahu and Others </w:t>
      </w:r>
      <w:r w:rsidRPr="00882A04">
        <w:rPr>
          <w:rFonts w:ascii="Verdana" w:hAnsi="Verdana" w:cs="Arial"/>
          <w:color w:val="000000"/>
          <w:sz w:val="22"/>
          <w:szCs w:val="22"/>
          <w:lang w:val="en-US"/>
        </w:rPr>
        <w:br/>
      </w:r>
      <w:r w:rsidRPr="00882A04">
        <w:rPr>
          <w:rFonts w:ascii="Verdana" w:hAnsi="Verdana" w:cs="Arial"/>
          <w:color w:val="000000"/>
          <w:sz w:val="22"/>
          <w:szCs w:val="22"/>
          <w:lang w:val="en-US"/>
        </w:rPr>
        <w:lastRenderedPageBreak/>
        <w:t>- 5.Smaller tombs and boundary stelae </w:t>
      </w:r>
      <w:r w:rsidRPr="00882A04">
        <w:rPr>
          <w:rFonts w:ascii="Verdana" w:hAnsi="Verdana" w:cs="Arial"/>
          <w:color w:val="000000"/>
          <w:sz w:val="22"/>
          <w:szCs w:val="22"/>
          <w:lang w:val="en-US"/>
        </w:rPr>
        <w:br/>
        <w:t>- 6.Tombs of Parennefer, Tutu, and Aÿ </w:t>
      </w:r>
    </w:p>
    <w:p w:rsidR="00AC0B7F" w:rsidRPr="00882A04" w:rsidRDefault="00AC0B7F" w:rsidP="00AC0B7F">
      <w:pPr>
        <w:ind w:left="709" w:hanging="709"/>
        <w:jc w:val="both"/>
        <w:rPr>
          <w:rFonts w:ascii="Verdana" w:hAnsi="Verdana" w:cs="Arial"/>
          <w:color w:val="000000"/>
          <w:sz w:val="22"/>
          <w:szCs w:val="22"/>
          <w:lang w:val="en-US" w:eastAsia="es-ES"/>
        </w:rPr>
      </w:pPr>
      <w:r w:rsidRPr="00882A04">
        <w:rPr>
          <w:rFonts w:ascii="Verdana" w:hAnsi="Verdana" w:cs="Arial"/>
          <w:color w:val="000000"/>
          <w:sz w:val="22"/>
          <w:szCs w:val="22"/>
          <w:lang w:val="en-US" w:eastAsia="es-ES"/>
        </w:rPr>
        <w:t xml:space="preserve">Gaballa A. Gaballa. </w:t>
      </w:r>
      <w:r w:rsidRPr="00882A04">
        <w:rPr>
          <w:rFonts w:ascii="Verdana" w:hAnsi="Verdana" w:cs="Arial"/>
          <w:i/>
          <w:color w:val="000000"/>
          <w:sz w:val="22"/>
          <w:szCs w:val="22"/>
          <w:lang w:val="en-US" w:eastAsia="es-ES"/>
        </w:rPr>
        <w:t>Narrative in Egyptian Art</w:t>
      </w:r>
      <w:r w:rsidRPr="00882A04">
        <w:rPr>
          <w:rFonts w:ascii="Verdana" w:hAnsi="Verdana" w:cs="Arial"/>
          <w:color w:val="000000"/>
          <w:sz w:val="22"/>
          <w:szCs w:val="22"/>
          <w:lang w:val="en-US" w:eastAsia="es-ES"/>
        </w:rPr>
        <w:t>, P. von Zabern: Mainz, 1976, pp. 72-81.</w:t>
      </w:r>
    </w:p>
    <w:p w:rsidR="00AC0B7F" w:rsidRPr="00882A04" w:rsidRDefault="00AC0B7F" w:rsidP="00AC0B7F">
      <w:pPr>
        <w:ind w:left="709" w:hanging="709"/>
        <w:jc w:val="both"/>
        <w:rPr>
          <w:rFonts w:ascii="Verdana" w:hAnsi="Verdana" w:cs="Arial"/>
          <w:color w:val="000000"/>
          <w:sz w:val="22"/>
          <w:szCs w:val="22"/>
          <w:lang w:val="en-US" w:eastAsia="es-ES"/>
        </w:rPr>
      </w:pPr>
      <w:r w:rsidRPr="00882A04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 xml:space="preserve">Meyers, Elizabeth Louise, </w:t>
      </w:r>
      <w:r w:rsidRPr="00882A04">
        <w:rPr>
          <w:rFonts w:ascii="Verdana" w:hAnsi="Verdana" w:cs="Arial"/>
          <w:i/>
          <w:color w:val="000000"/>
          <w:sz w:val="22"/>
          <w:szCs w:val="22"/>
          <w:shd w:val="clear" w:color="auto" w:fill="FFFFFF"/>
          <w:lang w:val="en-US"/>
        </w:rPr>
        <w:t>A Program of Political Theology in Amarna Tomb Art : Imagery as Metaphor</w:t>
      </w:r>
      <w:r w:rsidRPr="00882A04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>, Dissertation,</w:t>
      </w:r>
      <w:r w:rsidRPr="00882A04">
        <w:rPr>
          <w:rFonts w:ascii="Verdana" w:hAnsi="Verdana"/>
          <w:color w:val="555555"/>
          <w:sz w:val="22"/>
          <w:szCs w:val="22"/>
          <w:shd w:val="clear" w:color="auto" w:fill="FFFFFF"/>
          <w:lang w:val="en-US"/>
        </w:rPr>
        <w:t xml:space="preserve"> </w:t>
      </w:r>
      <w:r w:rsidRPr="00882A04">
        <w:rPr>
          <w:rFonts w:ascii="Verdana" w:hAnsi="Verdana" w:cs="Arial"/>
          <w:sz w:val="22"/>
          <w:szCs w:val="22"/>
          <w:lang w:val="en-US"/>
        </w:rPr>
        <w:t>University of Pennsylvania</w:t>
      </w:r>
      <w:r w:rsidRPr="00882A04">
        <w:rPr>
          <w:rFonts w:ascii="Verdana" w:hAnsi="Verdana" w:cs="Arial"/>
          <w:color w:val="000000"/>
          <w:sz w:val="22"/>
          <w:szCs w:val="22"/>
          <w:shd w:val="clear" w:color="auto" w:fill="FFFFFF"/>
          <w:lang w:val="en-US"/>
        </w:rPr>
        <w:t>, 1981.</w:t>
      </w:r>
    </w:p>
    <w:p w:rsidR="00AC0B7F" w:rsidRPr="00882A04" w:rsidRDefault="00AC0B7F" w:rsidP="00AC0B7F">
      <w:pPr>
        <w:ind w:left="709" w:hanging="709"/>
        <w:jc w:val="both"/>
        <w:rPr>
          <w:rFonts w:ascii="Verdana" w:hAnsi="Verdana" w:cs="Arial"/>
          <w:sz w:val="22"/>
          <w:szCs w:val="22"/>
          <w:lang w:val="en-US"/>
        </w:rPr>
      </w:pPr>
    </w:p>
    <w:p w:rsidR="00AC0B7F" w:rsidRPr="00882A04" w:rsidRDefault="00AC0B7F" w:rsidP="00AC0B7F">
      <w:pPr>
        <w:ind w:left="709" w:hanging="709"/>
        <w:jc w:val="both"/>
        <w:rPr>
          <w:rFonts w:ascii="Verdana" w:hAnsi="Verdana" w:cs="Arial"/>
          <w:sz w:val="22"/>
          <w:szCs w:val="22"/>
          <w:lang w:val="en-US"/>
        </w:rPr>
      </w:pPr>
    </w:p>
    <w:p w:rsidR="00AC0B7F" w:rsidRPr="00882A04" w:rsidRDefault="00AC0B7F" w:rsidP="00AC0B7F">
      <w:pPr>
        <w:jc w:val="both"/>
        <w:rPr>
          <w:rFonts w:ascii="Verdana" w:hAnsi="Verdana" w:cs="Arial"/>
          <w:sz w:val="22"/>
          <w:szCs w:val="22"/>
        </w:rPr>
      </w:pPr>
      <w:r w:rsidRPr="00882A04">
        <w:rPr>
          <w:rFonts w:ascii="Verdana" w:hAnsi="Verdana" w:cs="Arial"/>
          <w:sz w:val="22"/>
          <w:szCs w:val="22"/>
        </w:rPr>
        <w:t xml:space="preserve">Unidad 4: Semiología de la imagen egipcia. Interacción vs discordancia entre textos e imágenes. Los principios de la semiótica egipcia. Hermenéutica de las imágenes egipcias. El arte egipcio: nuevos enfoques.      </w:t>
      </w:r>
    </w:p>
    <w:p w:rsidR="00AC0B7F" w:rsidRPr="00882A04" w:rsidRDefault="00AC0B7F" w:rsidP="00AC0B7F">
      <w:pPr>
        <w:jc w:val="both"/>
        <w:rPr>
          <w:rFonts w:ascii="Verdana" w:hAnsi="Verdana" w:cs="Arial"/>
          <w:sz w:val="22"/>
          <w:szCs w:val="22"/>
        </w:rPr>
      </w:pPr>
      <w:r w:rsidRPr="00882A04">
        <w:rPr>
          <w:rFonts w:ascii="Verdana" w:hAnsi="Verdana" w:cs="Arial"/>
          <w:sz w:val="22"/>
          <w:szCs w:val="22"/>
        </w:rPr>
        <w:t xml:space="preserve">Elementos focales: espacio y representación. Coto espacial y sagrado de las imágenes. </w:t>
      </w:r>
    </w:p>
    <w:p w:rsidR="00AC0B7F" w:rsidRPr="00882A04" w:rsidRDefault="00AC0B7F" w:rsidP="00AC0B7F">
      <w:pPr>
        <w:rPr>
          <w:rFonts w:ascii="Verdana" w:hAnsi="Verdana" w:cs="Arial"/>
          <w:sz w:val="22"/>
          <w:szCs w:val="22"/>
        </w:rPr>
      </w:pPr>
    </w:p>
    <w:p w:rsidR="00AC0B7F" w:rsidRPr="00882A04" w:rsidRDefault="00AC0B7F" w:rsidP="00AC0B7F">
      <w:pPr>
        <w:rPr>
          <w:rFonts w:ascii="Verdana" w:hAnsi="Verdana" w:cs="Arial"/>
          <w:b/>
          <w:sz w:val="22"/>
          <w:szCs w:val="22"/>
        </w:rPr>
      </w:pPr>
      <w:r w:rsidRPr="00882A04">
        <w:rPr>
          <w:rFonts w:ascii="Verdana" w:hAnsi="Verdana" w:cs="Arial"/>
          <w:b/>
          <w:sz w:val="22"/>
          <w:szCs w:val="22"/>
        </w:rPr>
        <w:t>Bibliografía:</w:t>
      </w:r>
    </w:p>
    <w:p w:rsidR="00AC0B7F" w:rsidRPr="00882A04" w:rsidRDefault="00AC0B7F" w:rsidP="00AC0B7F">
      <w:pPr>
        <w:pStyle w:val="Ttulo1"/>
        <w:numPr>
          <w:ilvl w:val="4"/>
          <w:numId w:val="1"/>
        </w:numPr>
        <w:shd w:val="clear" w:color="auto" w:fill="FFFFFF"/>
        <w:ind w:left="709" w:hanging="709"/>
        <w:rPr>
          <w:rFonts w:ascii="Verdana" w:hAnsi="Verdana"/>
          <w:b w:val="0"/>
          <w:color w:val="000000"/>
          <w:sz w:val="22"/>
          <w:szCs w:val="22"/>
          <w:lang w:val="fr-FR"/>
        </w:rPr>
      </w:pPr>
      <w:r w:rsidRPr="00882A04">
        <w:rPr>
          <w:rFonts w:ascii="Verdana" w:hAnsi="Verdana"/>
          <w:b w:val="0"/>
          <w:sz w:val="22"/>
          <w:szCs w:val="22"/>
          <w:lang w:val="fr-FR"/>
        </w:rPr>
        <w:t>Angenot, Valerie, “</w:t>
      </w:r>
      <w:r w:rsidRPr="00882A04">
        <w:rPr>
          <w:rFonts w:ascii="Verdana" w:hAnsi="Verdana"/>
          <w:b w:val="0"/>
          <w:color w:val="000000"/>
          <w:sz w:val="22"/>
          <w:szCs w:val="22"/>
          <w:lang w:val="fr-FR"/>
        </w:rPr>
        <w:t xml:space="preserve">Pour une herméneutique de l'image égyptienne », </w:t>
      </w:r>
      <w:r w:rsidRPr="00882A04">
        <w:rPr>
          <w:rFonts w:ascii="Verdana" w:hAnsi="Verdana"/>
          <w:b w:val="0"/>
          <w:i/>
          <w:color w:val="000000"/>
          <w:sz w:val="22"/>
          <w:szCs w:val="22"/>
          <w:lang w:val="fr-FR"/>
        </w:rPr>
        <w:t xml:space="preserve">Chronique d´Egypte </w:t>
      </w:r>
      <w:r w:rsidRPr="00882A04">
        <w:rPr>
          <w:rFonts w:ascii="Verdana" w:hAnsi="Verdana"/>
          <w:b w:val="0"/>
          <w:color w:val="000000"/>
          <w:sz w:val="22"/>
          <w:szCs w:val="22"/>
          <w:lang w:val="fr-FR"/>
        </w:rPr>
        <w:t>80, 2005, pp. 11-35.</w:t>
      </w:r>
    </w:p>
    <w:p w:rsidR="00AC0B7F" w:rsidRPr="00882A04" w:rsidRDefault="00AC0B7F" w:rsidP="00AC0B7F">
      <w:pPr>
        <w:ind w:left="709" w:hanging="709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/>
        </w:rPr>
        <w:t>Angenot, Valérie. “Semiotics and Hermeneutics”, en Hartwig, Melinda, A Companion to Ancient Egyptian Art, Chichester: Wiley-Blackwell, 2015, pp. 98-119.</w:t>
      </w:r>
    </w:p>
    <w:p w:rsidR="00AC0B7F" w:rsidRPr="00882A04" w:rsidRDefault="00AC0B7F" w:rsidP="00AC0B7F">
      <w:pPr>
        <w:ind w:left="709" w:hanging="709"/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/>
        </w:rPr>
        <w:t>Baines, John. “Color Terminology and Color Classification: Ancient Egyptian Color Terminology and Polychromy”,</w:t>
      </w:r>
      <w:r w:rsidRPr="00882A04">
        <w:rPr>
          <w:rFonts w:ascii="Verdana" w:hAnsi="Verdana" w:cs="Arial"/>
          <w:i/>
          <w:sz w:val="22"/>
          <w:szCs w:val="22"/>
          <w:lang w:val="en-US"/>
        </w:rPr>
        <w:t xml:space="preserve"> American Anthropologist</w:t>
      </w:r>
      <w:r w:rsidRPr="00882A04">
        <w:rPr>
          <w:rFonts w:ascii="Verdana" w:hAnsi="Verdana" w:cs="Arial"/>
          <w:sz w:val="22"/>
          <w:szCs w:val="22"/>
          <w:lang w:val="en-US"/>
        </w:rPr>
        <w:t xml:space="preserve"> 8, 1985a, pp. 282-297. </w:t>
      </w:r>
    </w:p>
    <w:p w:rsidR="00AC0B7F" w:rsidRPr="00882A04" w:rsidRDefault="00AC0B7F" w:rsidP="00AC0B7F">
      <w:pPr>
        <w:ind w:left="709" w:hanging="709"/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/>
        </w:rPr>
        <w:t xml:space="preserve">Baines, John. “Theories and universals of representation: Heinrich Schäfer and Egyptian art”, </w:t>
      </w:r>
      <w:r w:rsidRPr="00882A04">
        <w:rPr>
          <w:rFonts w:ascii="Verdana" w:hAnsi="Verdana" w:cs="Arial"/>
          <w:i/>
          <w:sz w:val="22"/>
          <w:szCs w:val="22"/>
          <w:lang w:val="en-US"/>
        </w:rPr>
        <w:t>Art History</w:t>
      </w:r>
      <w:r w:rsidRPr="00882A04">
        <w:rPr>
          <w:rFonts w:ascii="Verdana" w:hAnsi="Verdana" w:cs="Arial"/>
          <w:sz w:val="22"/>
          <w:szCs w:val="22"/>
          <w:lang w:val="en-US"/>
        </w:rPr>
        <w:t xml:space="preserve"> 8, 1985b, pp.1-25.</w:t>
      </w:r>
    </w:p>
    <w:p w:rsidR="00AC0B7F" w:rsidRPr="00882A04" w:rsidRDefault="00AC0B7F" w:rsidP="00AC0B7F">
      <w:pPr>
        <w:ind w:left="709" w:hanging="709"/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/>
        </w:rPr>
        <w:t>Baines, John. “What is Art?”, en Hartwig, Melinda, A companion to ancient Egyptian Art, edited by Melinda K. Hartwig, Chichester: Wiley-Blackwell, 2015, pp. 1-21.</w:t>
      </w:r>
    </w:p>
    <w:p w:rsidR="00AC0B7F" w:rsidRPr="00882A04" w:rsidRDefault="00AC0B7F" w:rsidP="00AC0B7F">
      <w:pPr>
        <w:ind w:left="709" w:hanging="709"/>
        <w:jc w:val="both"/>
        <w:rPr>
          <w:rFonts w:ascii="Verdana" w:hAnsi="Verdana" w:cs="Arial"/>
          <w:sz w:val="22"/>
          <w:szCs w:val="22"/>
        </w:rPr>
      </w:pPr>
      <w:r w:rsidRPr="00882A04">
        <w:rPr>
          <w:rFonts w:ascii="Verdana" w:hAnsi="Verdana" w:cs="Arial"/>
          <w:sz w:val="22"/>
          <w:szCs w:val="22"/>
        </w:rPr>
        <w:t xml:space="preserve">Belting, Hans. </w:t>
      </w:r>
      <w:r w:rsidRPr="00882A04">
        <w:rPr>
          <w:rFonts w:ascii="Verdana" w:hAnsi="Verdana" w:cs="Arial"/>
          <w:i/>
          <w:sz w:val="22"/>
          <w:szCs w:val="22"/>
        </w:rPr>
        <w:t>Antropología de la imagen</w:t>
      </w:r>
      <w:r w:rsidRPr="00882A04">
        <w:rPr>
          <w:rFonts w:ascii="Verdana" w:hAnsi="Verdana" w:cs="Arial"/>
          <w:sz w:val="22"/>
          <w:szCs w:val="22"/>
        </w:rPr>
        <w:t>, Katz editores: Buenos Aires, 2010, pp. 177-232.</w:t>
      </w:r>
    </w:p>
    <w:p w:rsidR="00AC0B7F" w:rsidRPr="00882A04" w:rsidRDefault="00AC0B7F" w:rsidP="00AC0B7F">
      <w:pPr>
        <w:ind w:left="709" w:hanging="709"/>
        <w:jc w:val="both"/>
        <w:rPr>
          <w:rFonts w:ascii="Verdana" w:hAnsi="Verdana" w:cs="Arial"/>
          <w:sz w:val="22"/>
          <w:szCs w:val="22"/>
        </w:rPr>
      </w:pPr>
      <w:r w:rsidRPr="00882A04">
        <w:rPr>
          <w:rFonts w:ascii="Verdana" w:hAnsi="Verdana" w:cs="Arial"/>
          <w:sz w:val="22"/>
          <w:szCs w:val="22"/>
        </w:rPr>
        <w:t xml:space="preserve">Berger, John, </w:t>
      </w:r>
      <w:r w:rsidRPr="00882A04">
        <w:rPr>
          <w:rFonts w:ascii="Verdana" w:hAnsi="Verdana" w:cs="Arial"/>
          <w:i/>
          <w:sz w:val="22"/>
          <w:szCs w:val="22"/>
        </w:rPr>
        <w:t>Modos de ver</w:t>
      </w:r>
      <w:r w:rsidRPr="00882A04">
        <w:rPr>
          <w:rFonts w:ascii="Verdana" w:hAnsi="Verdana" w:cs="Arial"/>
          <w:sz w:val="22"/>
          <w:szCs w:val="22"/>
        </w:rPr>
        <w:t>, Gustavo Gili: Barcelona, 2000 [1974].</w:t>
      </w:r>
    </w:p>
    <w:p w:rsidR="00AC0B7F" w:rsidRPr="00882A04" w:rsidRDefault="00AC0B7F" w:rsidP="00AC0B7F">
      <w:pPr>
        <w:ind w:left="709" w:hanging="709"/>
        <w:jc w:val="both"/>
        <w:rPr>
          <w:rFonts w:ascii="Verdana" w:hAnsi="Verdana" w:cs="Arial"/>
          <w:sz w:val="22"/>
          <w:szCs w:val="22"/>
        </w:rPr>
      </w:pPr>
      <w:r w:rsidRPr="00882A04">
        <w:rPr>
          <w:rFonts w:ascii="Verdana" w:hAnsi="Verdana" w:cs="Arial"/>
          <w:sz w:val="22"/>
          <w:szCs w:val="22"/>
          <w:lang w:val="en-US"/>
        </w:rPr>
        <w:t>Hartwig, Melinda, “Method in Ancient Egyptian Painting”, en Angenot, Valerie y Tiradritti, Francesco,</w:t>
      </w:r>
      <w:r w:rsidRPr="00882A04">
        <w:rPr>
          <w:rFonts w:ascii="Verdana" w:hAnsi="Verdana"/>
          <w:i/>
          <w:iCs/>
          <w:color w:val="555555"/>
          <w:sz w:val="22"/>
          <w:szCs w:val="22"/>
          <w:lang w:val="en-US"/>
        </w:rPr>
        <w:t xml:space="preserve"> </w:t>
      </w:r>
      <w:r w:rsidRPr="00882A04">
        <w:rPr>
          <w:rFonts w:ascii="Verdana" w:hAnsi="Verdana" w:cs="Arial"/>
          <w:i/>
          <w:sz w:val="22"/>
          <w:szCs w:val="22"/>
          <w:lang w:val="en-US"/>
        </w:rPr>
        <w:t>Artists and Painting in Ancient Egypt,</w:t>
      </w:r>
      <w:r w:rsidRPr="00882A04">
        <w:rPr>
          <w:rFonts w:ascii="Verdana" w:hAnsi="Verdana"/>
          <w:sz w:val="22"/>
          <w:szCs w:val="22"/>
          <w:lang w:val="en-US"/>
        </w:rPr>
        <w:t xml:space="preserve"> </w:t>
      </w:r>
      <w:r w:rsidRPr="00882A04">
        <w:rPr>
          <w:rFonts w:ascii="Verdana" w:hAnsi="Verdana" w:cs="Arial"/>
          <w:sz w:val="22"/>
          <w:szCs w:val="22"/>
          <w:lang w:val="en-US"/>
        </w:rPr>
        <w:t xml:space="preserve">Montepulciano: Missione Archeologica Italiana a Luxor. </w:t>
      </w:r>
      <w:r w:rsidRPr="00882A04">
        <w:rPr>
          <w:rFonts w:ascii="Verdana" w:hAnsi="Verdana" w:cs="Arial"/>
          <w:sz w:val="22"/>
          <w:szCs w:val="22"/>
        </w:rPr>
        <w:t>Consultado en</w:t>
      </w:r>
      <w:r w:rsidRPr="00882A04">
        <w:rPr>
          <w:rFonts w:ascii="Verdana" w:hAnsi="Verdana"/>
          <w:sz w:val="22"/>
          <w:szCs w:val="22"/>
        </w:rPr>
        <w:t xml:space="preserve"> </w:t>
      </w:r>
      <w:r w:rsidRPr="00882A04">
        <w:rPr>
          <w:rFonts w:ascii="Verdana" w:hAnsi="Verdana" w:cs="Arial"/>
          <w:sz w:val="22"/>
          <w:szCs w:val="22"/>
        </w:rPr>
        <w:t>https://www.researchgate.net/profile/Melinda_Hartwig/publication/320616584_Method_in_Ancient_Egyptian_Painting_Artists_and_Colour_in_Ancient_Egypt_Proceedings_of_the_colloquium_held_in_Montepulciano_August_22nd_-_24th_2008_Edited_by_Valerie_Angenot_and_Francesco_Tiradritti_M/links/59f0b86da6fdcc1dc7b8eaf1/Method-in-Ancient-Egyptian-Painting-Artists-and-Colour-in-Ancient-Egypt-Proceedings-of-the-colloquium-held-in-Montepulciano-August-22nd-24th-2008-Edited-by-Valerie-Angenot-and-Francesco-Tiradritt.pdf</w:t>
      </w:r>
    </w:p>
    <w:p w:rsidR="00AC0B7F" w:rsidRPr="00882A04" w:rsidRDefault="00AC0B7F" w:rsidP="00AC0B7F">
      <w:pPr>
        <w:ind w:left="709" w:hanging="709"/>
        <w:jc w:val="both"/>
        <w:rPr>
          <w:rFonts w:ascii="Verdana" w:hAnsi="Verdana" w:cs="Arial"/>
          <w:color w:val="FF0000"/>
          <w:sz w:val="22"/>
          <w:szCs w:val="22"/>
        </w:rPr>
      </w:pPr>
      <w:r w:rsidRPr="00882A04">
        <w:rPr>
          <w:rFonts w:ascii="Verdana" w:hAnsi="Verdana" w:cs="Arial"/>
          <w:sz w:val="22"/>
          <w:szCs w:val="22"/>
          <w:lang w:val="en-US"/>
        </w:rPr>
        <w:t>Hartwig, Melinda. 2003. “Style and Visual Rhetoric in Theban Tomb Painting”,  en Hawass, Zahi y Pinch Brock, Lyla, E</w:t>
      </w:r>
      <w:r w:rsidRPr="00882A04">
        <w:rPr>
          <w:rFonts w:ascii="Verdana" w:hAnsi="Verdana" w:cs="Arial"/>
          <w:i/>
          <w:sz w:val="22"/>
          <w:szCs w:val="22"/>
          <w:lang w:val="en-US"/>
        </w:rPr>
        <w:t xml:space="preserve">gyptology at the Dawn of the Twenty-First Century: Proceedings of the Eighth International Congress of Egyptologists. </w:t>
      </w:r>
      <w:r w:rsidRPr="00882A04">
        <w:rPr>
          <w:rFonts w:ascii="Verdana" w:hAnsi="Verdana" w:cs="Arial"/>
          <w:sz w:val="22"/>
          <w:szCs w:val="22"/>
        </w:rPr>
        <w:t>Vol. 2, American University in Cairo Press, 2003, pp. 298-307.</w:t>
      </w:r>
    </w:p>
    <w:p w:rsidR="00AC0B7F" w:rsidRPr="00882A04" w:rsidRDefault="00AC0B7F" w:rsidP="00AC0B7F">
      <w:pPr>
        <w:ind w:left="709" w:hanging="709"/>
        <w:jc w:val="both"/>
        <w:rPr>
          <w:rFonts w:ascii="Verdana" w:hAnsi="Verdana" w:cs="Arial"/>
          <w:color w:val="FF0000"/>
          <w:sz w:val="22"/>
          <w:szCs w:val="22"/>
        </w:rPr>
      </w:pPr>
      <w:r w:rsidRPr="00882A04">
        <w:rPr>
          <w:rFonts w:ascii="Verdana" w:hAnsi="Verdana" w:cs="Arial"/>
          <w:sz w:val="22"/>
          <w:szCs w:val="22"/>
        </w:rPr>
        <w:t>Panofsky, Erwin.</w:t>
      </w:r>
      <w:r w:rsidRPr="00882A04">
        <w:rPr>
          <w:rFonts w:ascii="Verdana" w:hAnsi="Verdana" w:cs="Arial"/>
          <w:i/>
          <w:iCs/>
          <w:color w:val="222222"/>
          <w:sz w:val="22"/>
          <w:szCs w:val="22"/>
        </w:rPr>
        <w:t xml:space="preserve"> </w:t>
      </w:r>
      <w:r w:rsidRPr="00882A04">
        <w:rPr>
          <w:rFonts w:ascii="Verdana" w:hAnsi="Verdana" w:cs="Arial"/>
          <w:i/>
          <w:iCs/>
          <w:color w:val="222222"/>
          <w:sz w:val="22"/>
          <w:szCs w:val="22"/>
          <w:lang w:eastAsia="es-ES"/>
        </w:rPr>
        <w:t>Estudios sobre iconología</w:t>
      </w:r>
      <w:r w:rsidRPr="00882A04">
        <w:rPr>
          <w:rFonts w:ascii="Verdana" w:hAnsi="Verdana" w:cs="Arial"/>
          <w:color w:val="222222"/>
          <w:sz w:val="22"/>
          <w:szCs w:val="22"/>
          <w:lang w:eastAsia="es-ES"/>
        </w:rPr>
        <w:t>, Alianza: Madrid, 2008 [1939].</w:t>
      </w:r>
    </w:p>
    <w:p w:rsidR="00374471" w:rsidRPr="00882A04" w:rsidRDefault="00374471" w:rsidP="00AC0B7F">
      <w:pPr>
        <w:jc w:val="both"/>
        <w:rPr>
          <w:rFonts w:ascii="Verdana" w:hAnsi="Verdana" w:cs="Arial"/>
          <w:color w:val="0000FF"/>
          <w:sz w:val="22"/>
          <w:szCs w:val="22"/>
        </w:rPr>
      </w:pPr>
    </w:p>
    <w:p w:rsidR="00AC0B7F" w:rsidRPr="00882A04" w:rsidRDefault="00975C34" w:rsidP="00AC0B7F">
      <w:pPr>
        <w:spacing w:after="120"/>
        <w:jc w:val="both"/>
        <w:rPr>
          <w:rFonts w:ascii="Verdana" w:hAnsi="Verdana" w:cs="Arial"/>
          <w:b/>
          <w:bCs/>
          <w:sz w:val="22"/>
          <w:szCs w:val="22"/>
          <w:lang w:val="es-AR"/>
        </w:rPr>
      </w:pPr>
      <w:r w:rsidRPr="00882A04">
        <w:rPr>
          <w:rFonts w:ascii="Verdana" w:hAnsi="Verdana" w:cs="Arial"/>
          <w:b/>
          <w:bCs/>
          <w:sz w:val="22"/>
          <w:szCs w:val="22"/>
          <w:lang w:val="es-AR"/>
        </w:rPr>
        <w:t>3. MODALIDAD DE DICTADO</w:t>
      </w:r>
      <w:r w:rsidR="00AC0B7F" w:rsidRPr="00882A04">
        <w:rPr>
          <w:rFonts w:ascii="Verdana" w:hAnsi="Verdana" w:cs="Arial"/>
          <w:b/>
          <w:bCs/>
          <w:sz w:val="22"/>
          <w:szCs w:val="22"/>
          <w:lang w:val="es-AR"/>
        </w:rPr>
        <w:t xml:space="preserve"> Y EVALUACIÓN</w:t>
      </w:r>
    </w:p>
    <w:p w:rsidR="00AC0B7F" w:rsidRPr="00882A04" w:rsidRDefault="00AC0B7F" w:rsidP="00AC0B7F">
      <w:pPr>
        <w:pStyle w:val="Textosinformato"/>
        <w:jc w:val="both"/>
        <w:rPr>
          <w:rFonts w:ascii="Verdana" w:hAnsi="Verdana" w:cs="Arial"/>
          <w:sz w:val="22"/>
          <w:szCs w:val="22"/>
        </w:rPr>
      </w:pPr>
      <w:r w:rsidRPr="00882A04">
        <w:rPr>
          <w:rFonts w:ascii="Verdana" w:hAnsi="Verdana" w:cs="Arial"/>
          <w:sz w:val="22"/>
          <w:szCs w:val="22"/>
        </w:rPr>
        <w:t xml:space="preserve">El desarrollo del seminario se basará clases participativas con discusión bibliográfica y análisis de fuentes, orientadas a estimular el debate sobre las lecturas sugeridas a partir de las exposiciones de los participantes del mismo. Se propondrá la ejercitación de técnicas que permitan la identificación de fórmulas y transliteración de signos y palabras, así como la identificación y traducción de oraciones. </w:t>
      </w:r>
    </w:p>
    <w:p w:rsidR="00AC0B7F" w:rsidRPr="00882A04" w:rsidRDefault="00AC0B7F" w:rsidP="00AC0B7F">
      <w:pPr>
        <w:jc w:val="both"/>
        <w:rPr>
          <w:rFonts w:ascii="Verdana" w:hAnsi="Verdana" w:cs="Arial"/>
          <w:b/>
          <w:bCs/>
          <w:sz w:val="22"/>
          <w:szCs w:val="22"/>
          <w:lang w:val="es-AR"/>
        </w:rPr>
      </w:pPr>
      <w:r w:rsidRPr="00882A04">
        <w:rPr>
          <w:rFonts w:ascii="Verdana" w:hAnsi="Verdana" w:cs="Arial"/>
          <w:sz w:val="22"/>
          <w:szCs w:val="22"/>
        </w:rPr>
        <w:tab/>
        <w:t xml:space="preserve">La ejercitación se realizará en las clases en forma individual y grupal con el propósito de traducir pasajes breves de textos e inscripciones y establecer relaciones con imágenes en los soportes materiales. Los asistentes al seminario dispondrán del material requerido para la ejercitación correspondiente a los contenidos y de las guías que contengan la información necesaria para realizar la ejercitación práctica de cada unidad temática. </w:t>
      </w:r>
    </w:p>
    <w:p w:rsidR="00882A04" w:rsidRPr="00374471" w:rsidRDefault="00AC0B7F" w:rsidP="00374471">
      <w:pPr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color w:val="26282A"/>
          <w:sz w:val="22"/>
          <w:szCs w:val="22"/>
          <w:lang w:eastAsia="es-ES"/>
        </w:rPr>
      </w:pPr>
      <w:r w:rsidRPr="00882A04">
        <w:rPr>
          <w:rFonts w:ascii="Verdana" w:hAnsi="Verdana" w:cs="Arial"/>
          <w:sz w:val="22"/>
          <w:szCs w:val="22"/>
        </w:rPr>
        <w:tab/>
        <w:t>La evaluación se realizará a través de ejercitaciones que consistirán en transliterar y traducir ejercicios y textos. Para su aprobación los participantes del seminario deberán cumplir por un lado con el porcentaje de asistencia requerido a las clases</w:t>
      </w:r>
      <w:r w:rsidR="00882A04">
        <w:rPr>
          <w:rFonts w:ascii="Verdana" w:hAnsi="Verdana" w:cs="Arial"/>
          <w:sz w:val="22"/>
          <w:szCs w:val="22"/>
        </w:rPr>
        <w:t xml:space="preserve"> </w:t>
      </w:r>
      <w:r w:rsidR="00882A04" w:rsidRPr="00882A04">
        <w:rPr>
          <w:rFonts w:ascii="Verdana" w:hAnsi="Verdana" w:cs="Arial"/>
          <w:sz w:val="22"/>
          <w:szCs w:val="22"/>
        </w:rPr>
        <w:t>presenciales</w:t>
      </w:r>
      <w:r w:rsidR="00882A04">
        <w:rPr>
          <w:rFonts w:ascii="Verdana" w:hAnsi="Verdana" w:cs="Arial"/>
          <w:sz w:val="22"/>
          <w:szCs w:val="22"/>
        </w:rPr>
        <w:t xml:space="preserve"> que será del 75 %</w:t>
      </w:r>
      <w:r w:rsidRPr="00882A04">
        <w:rPr>
          <w:rFonts w:ascii="Verdana" w:hAnsi="Verdana" w:cs="Arial"/>
          <w:sz w:val="22"/>
          <w:szCs w:val="22"/>
        </w:rPr>
        <w:t xml:space="preserve">, y por otro con la entrega de ejercitación solicitada y su posterior cotejo y corrección, que tendrá un carácter semi-presencial. </w:t>
      </w:r>
      <w:r w:rsidRPr="00882A04">
        <w:rPr>
          <w:rFonts w:ascii="Verdana" w:hAnsi="Verdana" w:cs="Arial"/>
          <w:sz w:val="22"/>
          <w:szCs w:val="22"/>
          <w:lang w:val="es-MX" w:eastAsia="es-MX"/>
        </w:rPr>
        <w:t>Asimismo, la evaluación formal de los objetivos se realizará a partir de la presentación de un Trabajo Final individual en el que se defina</w:t>
      </w:r>
      <w:r w:rsidRPr="00882A04">
        <w:rPr>
          <w:rFonts w:ascii="Verdana" w:hAnsi="Verdana" w:cs="Arial"/>
          <w:sz w:val="22"/>
          <w:szCs w:val="22"/>
        </w:rPr>
        <w:t xml:space="preserve"> un tema y se formule un problema</w:t>
      </w:r>
      <w:r w:rsidRPr="00882A04">
        <w:rPr>
          <w:rFonts w:ascii="Verdana" w:hAnsi="Verdana" w:cs="Arial"/>
          <w:sz w:val="22"/>
          <w:szCs w:val="22"/>
          <w:lang w:val="es-MX" w:eastAsia="es-MX"/>
        </w:rPr>
        <w:t xml:space="preserve"> ligado a alguna de las cuestiones planteadas a lo largo del curso, con fuerte sustento </w:t>
      </w:r>
      <w:r w:rsidRPr="00882A04">
        <w:rPr>
          <w:rFonts w:ascii="Verdana" w:hAnsi="Verdana" w:cs="Arial"/>
          <w:sz w:val="22"/>
          <w:szCs w:val="22"/>
        </w:rPr>
        <w:t xml:space="preserve">en la traducción parcial e interpretación de textos e imágenes. </w:t>
      </w:r>
      <w:r w:rsidR="00374471">
        <w:rPr>
          <w:rFonts w:ascii="Verdana" w:hAnsi="Verdana" w:cs="Arial"/>
          <w:sz w:val="22"/>
          <w:szCs w:val="22"/>
        </w:rPr>
        <w:t xml:space="preserve">La aprobación será </w:t>
      </w:r>
      <w:r w:rsidR="00975C34" w:rsidRPr="00374471">
        <w:rPr>
          <w:rFonts w:ascii="Verdana" w:hAnsi="Verdana" w:cs="Arial"/>
          <w:bCs/>
          <w:color w:val="26282A"/>
          <w:sz w:val="22"/>
          <w:szCs w:val="22"/>
          <w:lang w:eastAsia="es-ES"/>
        </w:rPr>
        <w:t xml:space="preserve">con 6 (seis). </w:t>
      </w:r>
    </w:p>
    <w:p w:rsidR="00374471" w:rsidRPr="00374471" w:rsidRDefault="00374471" w:rsidP="00374471">
      <w:pPr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color w:val="26282A"/>
          <w:sz w:val="22"/>
          <w:szCs w:val="22"/>
          <w:lang w:eastAsia="es-ES"/>
        </w:rPr>
      </w:pPr>
    </w:p>
    <w:p w:rsidR="00374471" w:rsidRPr="00882A04" w:rsidRDefault="00374471" w:rsidP="00374471">
      <w:pPr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AC0B7F" w:rsidRPr="00882A04" w:rsidRDefault="00AC0B7F" w:rsidP="00AC0B7F">
      <w:pPr>
        <w:spacing w:after="120"/>
        <w:jc w:val="both"/>
        <w:rPr>
          <w:rFonts w:ascii="Verdana" w:hAnsi="Verdana" w:cs="Arial"/>
          <w:b/>
          <w:bCs/>
          <w:sz w:val="22"/>
          <w:szCs w:val="22"/>
          <w:lang w:val="en-US"/>
        </w:rPr>
      </w:pPr>
      <w:r w:rsidRPr="00882A04">
        <w:rPr>
          <w:rFonts w:ascii="Verdana" w:hAnsi="Verdana" w:cs="Arial"/>
          <w:b/>
          <w:bCs/>
          <w:sz w:val="22"/>
          <w:szCs w:val="22"/>
          <w:lang w:val="en-US"/>
        </w:rPr>
        <w:t xml:space="preserve">4. BIBLIOGRAFÍA COMPLEMENTARIA </w:t>
      </w:r>
    </w:p>
    <w:p w:rsidR="00AC0B7F" w:rsidRPr="00882A04" w:rsidRDefault="00AC0B7F" w:rsidP="00AC0B7F">
      <w:pPr>
        <w:jc w:val="both"/>
        <w:rPr>
          <w:rFonts w:ascii="Verdana" w:hAnsi="Verdana" w:cs="Arial"/>
          <w:sz w:val="22"/>
          <w:szCs w:val="22"/>
          <w:lang w:val="en-US"/>
        </w:rPr>
      </w:pPr>
    </w:p>
    <w:p w:rsidR="00AC0B7F" w:rsidRPr="00882A04" w:rsidRDefault="00AC0B7F" w:rsidP="00AC0B7F">
      <w:pPr>
        <w:pStyle w:val="Textonotapie"/>
        <w:rPr>
          <w:rFonts w:ascii="Verdana" w:hAnsi="Verdana" w:cs="Arial"/>
          <w:sz w:val="22"/>
          <w:szCs w:val="22"/>
          <w:lang w:val="en-GB"/>
        </w:rPr>
      </w:pPr>
      <w:r w:rsidRPr="00882A04">
        <w:rPr>
          <w:rFonts w:ascii="Verdana" w:hAnsi="Verdana" w:cs="Arial"/>
          <w:sz w:val="22"/>
          <w:szCs w:val="22"/>
          <w:lang w:val="en-GB"/>
        </w:rPr>
        <w:t xml:space="preserve">Abdalla, A. 1993. </w:t>
      </w:r>
      <w:r w:rsidRPr="00882A04">
        <w:rPr>
          <w:rFonts w:ascii="Verdana" w:hAnsi="Verdana" w:cs="Arial"/>
          <w:bCs/>
          <w:sz w:val="22"/>
          <w:szCs w:val="22"/>
          <w:lang w:val="en-GB"/>
        </w:rPr>
        <w:t>Two</w:t>
      </w:r>
      <w:r w:rsidRPr="00882A04">
        <w:rPr>
          <w:rFonts w:ascii="Verdana" w:hAnsi="Verdana" w:cs="Arial"/>
          <w:sz w:val="22"/>
          <w:szCs w:val="22"/>
          <w:lang w:val="en-GB"/>
        </w:rPr>
        <w:t xml:space="preserve"> Monuments of Eleventh Dynasty Date from Dendera in the Cairo Museum, </w:t>
      </w:r>
      <w:r w:rsidRPr="00882A04">
        <w:rPr>
          <w:rFonts w:ascii="Verdana" w:hAnsi="Verdana" w:cs="Arial"/>
          <w:i/>
          <w:sz w:val="22"/>
          <w:szCs w:val="22"/>
          <w:lang w:val="en-GB"/>
        </w:rPr>
        <w:t>Journal of Egyptian Archaeology</w:t>
      </w:r>
      <w:r w:rsidRPr="00882A04">
        <w:rPr>
          <w:rFonts w:ascii="Verdana" w:hAnsi="Verdana" w:cs="Arial"/>
          <w:sz w:val="22"/>
          <w:szCs w:val="22"/>
          <w:lang w:val="en-GB"/>
        </w:rPr>
        <w:t xml:space="preserve"> 79: 248-254, pl. XXIV, 1. </w:t>
      </w:r>
    </w:p>
    <w:p w:rsidR="00AC0B7F" w:rsidRPr="00882A04" w:rsidRDefault="00AC0B7F" w:rsidP="00AC0B7F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en-GB"/>
        </w:rPr>
      </w:pPr>
      <w:r w:rsidRPr="00882A04">
        <w:rPr>
          <w:rFonts w:ascii="Verdana" w:hAnsi="Verdana" w:cs="Arial"/>
          <w:sz w:val="22"/>
          <w:szCs w:val="22"/>
          <w:lang w:val="en-GB"/>
        </w:rPr>
        <w:t>Allen, J. 2006. “</w:t>
      </w:r>
      <w:r w:rsidRPr="00882A04">
        <w:rPr>
          <w:rFonts w:ascii="Verdana" w:eastAsia="Palatino-Roman" w:hAnsi="Verdana" w:cs="Arial"/>
          <w:sz w:val="22"/>
          <w:szCs w:val="22"/>
          <w:lang w:val="en-GB"/>
        </w:rPr>
        <w:t xml:space="preserve">Some aspects of the non-royal afterlife in the Old Kingdom”, en M. Barta (ed.) </w:t>
      </w:r>
      <w:r w:rsidRPr="00882A04">
        <w:rPr>
          <w:rFonts w:ascii="Verdana" w:hAnsi="Verdana" w:cs="Arial"/>
          <w:i/>
          <w:iCs/>
          <w:sz w:val="22"/>
          <w:szCs w:val="22"/>
          <w:lang w:val="en-GB"/>
        </w:rPr>
        <w:t>The Old Kingdom Art and Archaeology. Proceedings of the conference held in Prague,</w:t>
      </w:r>
      <w:r w:rsidRPr="00882A04">
        <w:rPr>
          <w:rFonts w:ascii="Verdana" w:hAnsi="Verdana" w:cs="Arial"/>
          <w:b/>
          <w:bCs/>
          <w:i/>
          <w:iCs/>
          <w:sz w:val="22"/>
          <w:szCs w:val="22"/>
          <w:lang w:val="en-GB"/>
        </w:rPr>
        <w:t xml:space="preserve"> </w:t>
      </w:r>
      <w:r w:rsidRPr="00882A04">
        <w:rPr>
          <w:rFonts w:ascii="Verdana" w:hAnsi="Verdana" w:cs="Arial"/>
          <w:i/>
          <w:iCs/>
          <w:sz w:val="22"/>
          <w:szCs w:val="22"/>
          <w:lang w:val="en-GB"/>
        </w:rPr>
        <w:t xml:space="preserve">May 31 – June 4, 2004, </w:t>
      </w:r>
      <w:r w:rsidRPr="00882A04">
        <w:rPr>
          <w:rFonts w:ascii="Verdana" w:hAnsi="Verdana" w:cs="Arial"/>
          <w:sz w:val="22"/>
          <w:szCs w:val="22"/>
          <w:lang w:val="en-GB"/>
        </w:rPr>
        <w:t>Praga: Czech Institute of Egyptology, Faculty of Arts, Charles University in Prague Academia Publishing House of the Academy of Sciences of the Czech Republic, pp. 9-17.</w:t>
      </w:r>
    </w:p>
    <w:p w:rsidR="00AC0B7F" w:rsidRPr="00882A04" w:rsidRDefault="00AC0B7F" w:rsidP="00AC0B7F">
      <w:pPr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/>
        </w:rPr>
        <w:t xml:space="preserve">Altenmüller, Hartwig. 1975. “Flachbildkunst der Frühzeit und des Atlen Reiches.”, en C. Vandersleyen, </w:t>
      </w:r>
      <w:r w:rsidRPr="00882A04">
        <w:rPr>
          <w:rFonts w:ascii="Verdana" w:hAnsi="Verdana" w:cs="Arial"/>
          <w:i/>
          <w:sz w:val="22"/>
          <w:szCs w:val="22"/>
          <w:lang w:val="en-US"/>
        </w:rPr>
        <w:t>Die Alte Ägypten</w:t>
      </w:r>
      <w:r w:rsidRPr="00882A04">
        <w:rPr>
          <w:rFonts w:ascii="Verdana" w:hAnsi="Verdana" w:cs="Arial"/>
          <w:sz w:val="22"/>
          <w:szCs w:val="22"/>
          <w:lang w:val="en-US"/>
        </w:rPr>
        <w:t xml:space="preserve">, Berlín: Propyläen Verlag, pp. 273-292. </w:t>
      </w:r>
    </w:p>
    <w:p w:rsidR="00AC0B7F" w:rsidRPr="00882A04" w:rsidRDefault="00AC0B7F" w:rsidP="00AC0B7F">
      <w:pPr>
        <w:jc w:val="both"/>
        <w:rPr>
          <w:rFonts w:ascii="Verdana" w:hAnsi="Verdana" w:cs="Arial"/>
          <w:sz w:val="22"/>
          <w:szCs w:val="22"/>
        </w:rPr>
      </w:pPr>
      <w:r w:rsidRPr="00882A04">
        <w:rPr>
          <w:rFonts w:ascii="Verdana" w:hAnsi="Verdana" w:cs="Arial"/>
          <w:sz w:val="22"/>
          <w:szCs w:val="22"/>
        </w:rPr>
        <w:t xml:space="preserve">Assman, J. 2005 [1996]. </w:t>
      </w:r>
      <w:r w:rsidRPr="00882A04">
        <w:rPr>
          <w:rFonts w:ascii="Verdana" w:hAnsi="Verdana" w:cs="Arial"/>
          <w:i/>
          <w:iCs/>
          <w:sz w:val="22"/>
          <w:szCs w:val="22"/>
        </w:rPr>
        <w:t>Egipto: Historia de un sentido</w:t>
      </w:r>
      <w:r w:rsidRPr="00882A04">
        <w:rPr>
          <w:rFonts w:ascii="Verdana" w:hAnsi="Verdana" w:cs="Arial"/>
          <w:sz w:val="22"/>
          <w:szCs w:val="22"/>
        </w:rPr>
        <w:t>, Madrid: Abada editores.</w:t>
      </w:r>
    </w:p>
    <w:p w:rsidR="00AC0B7F" w:rsidRPr="00882A04" w:rsidRDefault="00AC0B7F" w:rsidP="00AC0B7F">
      <w:pPr>
        <w:jc w:val="both"/>
        <w:rPr>
          <w:rFonts w:ascii="Verdana" w:hAnsi="Verdana" w:cs="Arial"/>
          <w:sz w:val="22"/>
          <w:szCs w:val="22"/>
          <w:lang w:val="fr-FR"/>
        </w:rPr>
      </w:pPr>
      <w:r w:rsidRPr="00882A04">
        <w:rPr>
          <w:rFonts w:ascii="Verdana" w:hAnsi="Verdana" w:cs="Arial"/>
          <w:sz w:val="22"/>
          <w:szCs w:val="22"/>
          <w:lang w:val="en-US"/>
        </w:rPr>
        <w:t xml:space="preserve">Assmann, J. 1999. “Cultural and Literary Texts”, en G. Moers (ed.), </w:t>
      </w:r>
      <w:r w:rsidRPr="00882A04">
        <w:rPr>
          <w:rFonts w:ascii="Verdana" w:hAnsi="Verdana" w:cs="Arial"/>
          <w:i/>
          <w:iCs/>
          <w:sz w:val="22"/>
          <w:szCs w:val="22"/>
          <w:lang w:val="en-US"/>
        </w:rPr>
        <w:t>Definitely: Egyptian Literature</w:t>
      </w:r>
      <w:r w:rsidRPr="00882A04">
        <w:rPr>
          <w:rFonts w:ascii="Verdana" w:hAnsi="Verdana" w:cs="Arial"/>
          <w:sz w:val="22"/>
          <w:szCs w:val="22"/>
          <w:lang w:val="en-US"/>
        </w:rPr>
        <w:t xml:space="preserve">. </w:t>
      </w:r>
      <w:r w:rsidRPr="00882A04">
        <w:rPr>
          <w:rFonts w:ascii="Verdana" w:hAnsi="Verdana" w:cs="Arial"/>
          <w:sz w:val="22"/>
          <w:szCs w:val="22"/>
          <w:lang w:val="fr-FR"/>
        </w:rPr>
        <w:t>Gotinga: Seminar für Ägyptologie und Koptologie, pp. 1-15.</w:t>
      </w:r>
    </w:p>
    <w:p w:rsidR="00AC0B7F" w:rsidRPr="00882A04" w:rsidRDefault="00AC0B7F" w:rsidP="00AC0B7F">
      <w:pPr>
        <w:jc w:val="both"/>
        <w:rPr>
          <w:rFonts w:ascii="Verdana" w:hAnsi="Verdana" w:cs="Arial"/>
          <w:sz w:val="22"/>
          <w:szCs w:val="22"/>
          <w:lang w:val="fr-FR"/>
        </w:rPr>
      </w:pPr>
      <w:r w:rsidRPr="00882A04">
        <w:rPr>
          <w:rFonts w:ascii="Verdana" w:hAnsi="Verdana" w:cs="Arial"/>
          <w:sz w:val="22"/>
          <w:szCs w:val="22"/>
          <w:lang w:val="fr-FR"/>
        </w:rPr>
        <w:t xml:space="preserve">Aufrère, S. H. 1999. “Les couleurs sacrées dans l’Egypte ancienne: vibration d’une lumière minéral”, </w:t>
      </w:r>
      <w:r w:rsidRPr="00882A04">
        <w:rPr>
          <w:rFonts w:ascii="Verdana" w:hAnsi="Verdana" w:cs="Arial"/>
          <w:i/>
          <w:sz w:val="22"/>
          <w:szCs w:val="22"/>
          <w:lang w:val="fr-FR"/>
        </w:rPr>
        <w:t>Techne</w:t>
      </w:r>
      <w:r w:rsidRPr="00882A04">
        <w:rPr>
          <w:rFonts w:ascii="Verdana" w:hAnsi="Verdana" w:cs="Arial"/>
          <w:sz w:val="22"/>
          <w:szCs w:val="22"/>
          <w:lang w:val="fr-FR"/>
        </w:rPr>
        <w:t xml:space="preserve"> 9-10, pp.19-32. </w:t>
      </w:r>
    </w:p>
    <w:p w:rsidR="00AC0B7F" w:rsidRPr="00882A04" w:rsidRDefault="00AC0B7F" w:rsidP="00AC0B7F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882A04">
        <w:rPr>
          <w:rFonts w:ascii="Verdana" w:hAnsi="Verdana" w:cs="Arial"/>
          <w:sz w:val="22"/>
          <w:szCs w:val="22"/>
          <w:lang w:val="en-GB"/>
        </w:rPr>
        <w:t xml:space="preserve">Baines, J. 1983. “Literacy and Ancient Egyptian Society”, </w:t>
      </w:r>
      <w:r w:rsidRPr="00882A04">
        <w:rPr>
          <w:rFonts w:ascii="Verdana" w:hAnsi="Verdana" w:cs="Arial"/>
          <w:i/>
          <w:iCs/>
          <w:sz w:val="22"/>
          <w:szCs w:val="22"/>
          <w:lang w:val="en-GB"/>
        </w:rPr>
        <w:t xml:space="preserve">Man </w:t>
      </w:r>
      <w:r w:rsidRPr="00882A04">
        <w:rPr>
          <w:rFonts w:ascii="Verdana" w:hAnsi="Verdana" w:cs="Arial"/>
          <w:sz w:val="22"/>
          <w:szCs w:val="22"/>
          <w:lang w:val="en-GB"/>
        </w:rPr>
        <w:t>18, pp. 572-599.</w:t>
      </w:r>
    </w:p>
    <w:p w:rsidR="00AC0B7F" w:rsidRPr="00882A04" w:rsidRDefault="00AC0B7F" w:rsidP="00AC0B7F">
      <w:pPr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 w:eastAsia="es-ES"/>
        </w:rPr>
        <w:lastRenderedPageBreak/>
        <w:t xml:space="preserve">Baines, J. 1989. “Communication and Display: the Integration of Early Egyptian Art and Writing» en </w:t>
      </w:r>
      <w:r w:rsidRPr="00882A04">
        <w:rPr>
          <w:rFonts w:ascii="Verdana" w:hAnsi="Verdana" w:cs="Arial"/>
          <w:i/>
          <w:iCs/>
          <w:sz w:val="22"/>
          <w:szCs w:val="22"/>
          <w:lang w:val="en-US" w:eastAsia="es-ES"/>
        </w:rPr>
        <w:t>Antiquity”</w:t>
      </w:r>
      <w:r w:rsidRPr="00882A04">
        <w:rPr>
          <w:rFonts w:ascii="Verdana" w:hAnsi="Verdana" w:cs="Arial"/>
          <w:sz w:val="22"/>
          <w:szCs w:val="22"/>
          <w:lang w:val="en-US" w:eastAsia="es-ES"/>
        </w:rPr>
        <w:t>, vol. 63.240, Cambridge University Press, York.</w:t>
      </w:r>
    </w:p>
    <w:p w:rsidR="00AC0B7F" w:rsidRPr="00882A04" w:rsidRDefault="00AC0B7F" w:rsidP="00AC0B7F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882A04">
        <w:rPr>
          <w:rFonts w:ascii="Verdana" w:hAnsi="Verdana" w:cs="Arial"/>
          <w:sz w:val="22"/>
          <w:szCs w:val="22"/>
          <w:lang w:val="en-GB"/>
        </w:rPr>
        <w:t>Baines, J. 1991. “Egyptian myth and discourse: myth, gods and early written and iconographic record”</w:t>
      </w:r>
      <w:r w:rsidRPr="00882A04">
        <w:rPr>
          <w:rFonts w:ascii="Verdana" w:hAnsi="Verdana" w:cs="Arial"/>
          <w:i/>
          <w:iCs/>
          <w:sz w:val="22"/>
          <w:szCs w:val="22"/>
          <w:lang w:val="en-GB"/>
        </w:rPr>
        <w:t>, Journal of Near Eastern Studies</w:t>
      </w:r>
      <w:r w:rsidRPr="00882A04">
        <w:rPr>
          <w:rFonts w:ascii="Verdana" w:hAnsi="Verdana" w:cs="Arial"/>
          <w:sz w:val="22"/>
          <w:szCs w:val="22"/>
          <w:lang w:val="en-GB"/>
        </w:rPr>
        <w:t xml:space="preserve"> 50: 81-105.</w:t>
      </w:r>
    </w:p>
    <w:p w:rsidR="00AC0B7F" w:rsidRPr="00882A04" w:rsidRDefault="00AC0B7F" w:rsidP="00AC0B7F">
      <w:pPr>
        <w:jc w:val="both"/>
        <w:rPr>
          <w:rFonts w:ascii="Verdana" w:hAnsi="Verdana" w:cs="Arial"/>
          <w:color w:val="FF0000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 w:eastAsia="es-ES"/>
        </w:rPr>
        <w:t xml:space="preserve">Baines, J. 1994. “On the Status and Purposes of Ancient Egyptian Art”, en </w:t>
      </w:r>
      <w:r w:rsidRPr="00882A04">
        <w:rPr>
          <w:rFonts w:ascii="Verdana" w:hAnsi="Verdana" w:cs="Arial"/>
          <w:i/>
          <w:iCs/>
          <w:sz w:val="22"/>
          <w:szCs w:val="22"/>
          <w:lang w:val="en-US" w:eastAsia="es-ES"/>
        </w:rPr>
        <w:t>Cambridge Archaeological Journal</w:t>
      </w:r>
      <w:r w:rsidRPr="00882A04">
        <w:rPr>
          <w:rFonts w:ascii="Verdana" w:hAnsi="Verdana" w:cs="Arial"/>
          <w:sz w:val="22"/>
          <w:szCs w:val="22"/>
          <w:lang w:val="en-US" w:eastAsia="es-ES"/>
        </w:rPr>
        <w:t>, vol. 4.1, Cambridge University Press, Cambridge.</w:t>
      </w:r>
    </w:p>
    <w:p w:rsidR="00AC0B7F" w:rsidRPr="00882A04" w:rsidRDefault="00AC0B7F" w:rsidP="00AC0B7F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882A04">
        <w:rPr>
          <w:rFonts w:ascii="Verdana" w:hAnsi="Verdana" w:cs="Arial"/>
          <w:sz w:val="22"/>
          <w:szCs w:val="22"/>
          <w:lang w:val="en-GB"/>
        </w:rPr>
        <w:t xml:space="preserve">Baines, J. 1996. “Contextualizing Egyptian Representations of Society and Ethnicity”, en Cooper, Jerrold y Schwartz, Glenn (eds.) </w:t>
      </w:r>
      <w:r w:rsidRPr="00882A04">
        <w:rPr>
          <w:rFonts w:ascii="Verdana" w:hAnsi="Verdana" w:cs="Arial"/>
          <w:i/>
          <w:iCs/>
          <w:sz w:val="22"/>
          <w:szCs w:val="22"/>
          <w:lang w:val="en-GB"/>
        </w:rPr>
        <w:t>The Study of the Ancient Near East in the 21</w:t>
      </w:r>
      <w:r w:rsidRPr="00882A04">
        <w:rPr>
          <w:rFonts w:ascii="Verdana" w:hAnsi="Verdana" w:cs="Arial"/>
          <w:i/>
          <w:iCs/>
          <w:sz w:val="22"/>
          <w:szCs w:val="22"/>
          <w:vertAlign w:val="superscript"/>
          <w:lang w:val="en-GB"/>
        </w:rPr>
        <w:t>st</w:t>
      </w:r>
      <w:r w:rsidRPr="00882A04">
        <w:rPr>
          <w:rFonts w:ascii="Verdana" w:hAnsi="Verdana" w:cs="Arial"/>
          <w:i/>
          <w:iCs/>
          <w:sz w:val="22"/>
          <w:szCs w:val="22"/>
          <w:lang w:val="en-GB"/>
        </w:rPr>
        <w:t xml:space="preserve"> Century</w:t>
      </w:r>
      <w:r w:rsidRPr="00882A04">
        <w:rPr>
          <w:rFonts w:ascii="Verdana" w:hAnsi="Verdana" w:cs="Arial"/>
          <w:sz w:val="22"/>
          <w:szCs w:val="22"/>
          <w:lang w:val="en-GB"/>
        </w:rPr>
        <w:t>, Indiana: Eisenbrauns.</w:t>
      </w:r>
    </w:p>
    <w:p w:rsidR="00AC0B7F" w:rsidRPr="00882A04" w:rsidRDefault="00AC0B7F" w:rsidP="00AC0B7F">
      <w:pPr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/>
        </w:rPr>
        <w:t xml:space="preserve">Baines, J. 1999. “Prehistories of Literature: Performance, Fiction, Myth”, en Moers, Gerald (ed.), </w:t>
      </w:r>
      <w:r w:rsidRPr="00882A04">
        <w:rPr>
          <w:rFonts w:ascii="Verdana" w:hAnsi="Verdana" w:cs="Arial"/>
          <w:i/>
          <w:iCs/>
          <w:sz w:val="22"/>
          <w:szCs w:val="22"/>
          <w:lang w:val="en-US"/>
        </w:rPr>
        <w:t>Definitely: Egyptian Literature</w:t>
      </w:r>
      <w:r w:rsidRPr="00882A04">
        <w:rPr>
          <w:rFonts w:ascii="Verdana" w:hAnsi="Verdana" w:cs="Arial"/>
          <w:sz w:val="22"/>
          <w:szCs w:val="22"/>
          <w:lang w:val="en-US"/>
        </w:rPr>
        <w:t>, (Lingua Aegyptia, Studia Monographica 2), Gotinga: Seminar für Ägyptologie und Koptologie, pp. 17-41.</w:t>
      </w:r>
    </w:p>
    <w:p w:rsidR="00AC0B7F" w:rsidRPr="00882A04" w:rsidRDefault="00AC0B7F" w:rsidP="00AC0B7F">
      <w:pPr>
        <w:jc w:val="both"/>
        <w:rPr>
          <w:rFonts w:ascii="Verdana" w:hAnsi="Verdana" w:cs="Arial"/>
          <w:sz w:val="22"/>
          <w:szCs w:val="22"/>
          <w:lang w:val="fr-FR"/>
        </w:rPr>
      </w:pPr>
      <w:r w:rsidRPr="00882A04">
        <w:rPr>
          <w:rFonts w:ascii="Verdana" w:hAnsi="Verdana" w:cs="Arial"/>
          <w:sz w:val="22"/>
          <w:szCs w:val="22"/>
          <w:lang w:val="fr-FR"/>
        </w:rPr>
        <w:t xml:space="preserve">Barocas, C. 1982. “La décoration des chapelles funéraires égyptiennes.”, en G. Gnoli y J. P. Vernant, </w:t>
      </w:r>
      <w:r w:rsidRPr="00882A04">
        <w:rPr>
          <w:rFonts w:ascii="Verdana" w:hAnsi="Verdana" w:cs="Arial"/>
          <w:i/>
          <w:sz w:val="22"/>
          <w:szCs w:val="22"/>
          <w:lang w:val="fr-FR"/>
        </w:rPr>
        <w:t>La mort, les morts dans les sociétés anciennes</w:t>
      </w:r>
      <w:r w:rsidRPr="00882A04">
        <w:rPr>
          <w:rFonts w:ascii="Verdana" w:hAnsi="Verdana" w:cs="Arial"/>
          <w:sz w:val="22"/>
          <w:szCs w:val="22"/>
          <w:lang w:val="fr-FR"/>
        </w:rPr>
        <w:t xml:space="preserve">, Cambridge: Cambridge University Press - Paris: Editions de la Maison des Sciences de l’Homme: 429-440. . </w:t>
      </w:r>
    </w:p>
    <w:p w:rsidR="00AC0B7F" w:rsidRPr="00882A04" w:rsidRDefault="00AC0B7F" w:rsidP="00AC0B7F">
      <w:pPr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/>
        </w:rPr>
        <w:t xml:space="preserve">Bochi, P. A. 1994. “Images of Time in Ancient Egyptian Art”, </w:t>
      </w:r>
      <w:r w:rsidRPr="00882A04">
        <w:rPr>
          <w:rFonts w:ascii="Verdana" w:hAnsi="Verdana" w:cs="Arial"/>
          <w:i/>
          <w:sz w:val="22"/>
          <w:szCs w:val="22"/>
          <w:lang w:val="en-US"/>
        </w:rPr>
        <w:t xml:space="preserve">Journal of the American Research Center in Egypt </w:t>
      </w:r>
      <w:r w:rsidRPr="00882A04">
        <w:rPr>
          <w:rFonts w:ascii="Verdana" w:hAnsi="Verdana" w:cs="Arial"/>
          <w:sz w:val="22"/>
          <w:szCs w:val="22"/>
          <w:lang w:val="en-US"/>
        </w:rPr>
        <w:t xml:space="preserve">31, pp. 55-62. </w:t>
      </w:r>
    </w:p>
    <w:p w:rsidR="00AC0B7F" w:rsidRPr="00882A04" w:rsidRDefault="00AC0B7F" w:rsidP="00AC0B7F">
      <w:pPr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/>
        </w:rPr>
        <w:t xml:space="preserve">Brunner-Traut, E. 1974. “Epilogue-Aspective”, en H. Schäfer, </w:t>
      </w:r>
      <w:r w:rsidRPr="00882A04">
        <w:rPr>
          <w:rFonts w:ascii="Verdana" w:hAnsi="Verdana" w:cs="Arial"/>
          <w:i/>
          <w:sz w:val="22"/>
          <w:szCs w:val="22"/>
          <w:lang w:val="en-US"/>
        </w:rPr>
        <w:t>Principals of Egyptian Art,</w:t>
      </w:r>
      <w:r w:rsidRPr="00882A04">
        <w:rPr>
          <w:rFonts w:ascii="Verdana" w:hAnsi="Verdana" w:cs="Arial"/>
          <w:sz w:val="22"/>
          <w:szCs w:val="22"/>
          <w:lang w:val="en-US"/>
        </w:rPr>
        <w:t xml:space="preserve"> Clarendon Press: Oxford: 421-448. </w:t>
      </w:r>
    </w:p>
    <w:p w:rsidR="00AC0B7F" w:rsidRPr="00882A04" w:rsidRDefault="00AC0B7F" w:rsidP="00AC0B7F">
      <w:pPr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/>
        </w:rPr>
        <w:t xml:space="preserve">Bryan, B. 2010. “Pharaonic Painting through the New Kingdom”, en A. B. Lloyd, </w:t>
      </w:r>
      <w:r w:rsidRPr="00882A04">
        <w:rPr>
          <w:rFonts w:ascii="Verdana" w:hAnsi="Verdana" w:cs="Arial"/>
          <w:i/>
          <w:sz w:val="22"/>
          <w:szCs w:val="22"/>
          <w:lang w:val="en-US"/>
        </w:rPr>
        <w:t>A Companion to Ancient Egypt</w:t>
      </w:r>
      <w:r w:rsidRPr="00882A04">
        <w:rPr>
          <w:rFonts w:ascii="Verdana" w:hAnsi="Verdana" w:cs="Arial"/>
          <w:sz w:val="22"/>
          <w:szCs w:val="22"/>
          <w:lang w:val="en-US"/>
        </w:rPr>
        <w:t xml:space="preserve">, Chichester: Wiley-Blackwell: 990–1007. </w:t>
      </w:r>
    </w:p>
    <w:p w:rsidR="00AC0B7F" w:rsidRPr="00882A04" w:rsidRDefault="00AC0B7F" w:rsidP="00AC0B7F">
      <w:pPr>
        <w:ind w:hanging="3"/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/>
        </w:rPr>
        <w:t xml:space="preserve">Bryan, B. 2016. “The ABCs of Painting in the Mid-Eighteenth Dynasty Terminology and Social Meaning”, en R. K. Ritner, </w:t>
      </w:r>
      <w:r w:rsidRPr="00882A04">
        <w:rPr>
          <w:rFonts w:ascii="Verdana" w:hAnsi="Verdana" w:cs="Arial"/>
          <w:i/>
          <w:sz w:val="22"/>
          <w:szCs w:val="22"/>
          <w:lang w:val="en-US"/>
        </w:rPr>
        <w:t>Essays for the Library of Seshat: Studies Presented to Janet H. Johnson on the Occasion of Her 70th Birthday</w:t>
      </w:r>
      <w:r w:rsidRPr="00882A04">
        <w:rPr>
          <w:rFonts w:ascii="Verdana" w:hAnsi="Verdana" w:cs="Arial"/>
          <w:sz w:val="22"/>
          <w:szCs w:val="22"/>
          <w:lang w:val="en-US"/>
        </w:rPr>
        <w:t xml:space="preserve">, The Oriental Institute of the University of Chicago. </w:t>
      </w:r>
    </w:p>
    <w:p w:rsidR="00AC0B7F" w:rsidRPr="00882A04" w:rsidRDefault="00AC0B7F" w:rsidP="00AC0B7F">
      <w:pPr>
        <w:ind w:left="706" w:hanging="709"/>
        <w:jc w:val="both"/>
        <w:rPr>
          <w:rFonts w:ascii="Verdana" w:hAnsi="Verdana" w:cs="Arial"/>
          <w:sz w:val="22"/>
          <w:szCs w:val="22"/>
          <w:lang w:val="en-GB"/>
        </w:rPr>
      </w:pPr>
      <w:r w:rsidRPr="00882A04">
        <w:rPr>
          <w:rFonts w:ascii="Verdana" w:hAnsi="Verdana" w:cs="Arial"/>
          <w:sz w:val="22"/>
          <w:szCs w:val="22"/>
          <w:lang w:val="en-GB"/>
        </w:rPr>
        <w:t xml:space="preserve">Budge, E.A.W., 1993 [1896]. </w:t>
      </w:r>
      <w:r w:rsidRPr="00882A04">
        <w:rPr>
          <w:rFonts w:ascii="Verdana" w:hAnsi="Verdana" w:cs="Arial"/>
          <w:i/>
          <w:sz w:val="22"/>
          <w:szCs w:val="22"/>
          <w:lang w:val="en-GB"/>
        </w:rPr>
        <w:t>An Egyptian hieroglyphic reading book for beginners</w:t>
      </w:r>
      <w:r w:rsidRPr="00882A04">
        <w:rPr>
          <w:rFonts w:ascii="Verdana" w:hAnsi="Verdana" w:cs="Arial"/>
          <w:sz w:val="22"/>
          <w:szCs w:val="22"/>
          <w:lang w:val="en-GB"/>
        </w:rPr>
        <w:t>.</w:t>
      </w:r>
      <w:r w:rsidRPr="00882A04">
        <w:rPr>
          <w:rFonts w:ascii="Verdana" w:hAnsi="Verdana" w:cs="Arial"/>
          <w:color w:val="000000"/>
          <w:sz w:val="22"/>
          <w:szCs w:val="22"/>
          <w:lang w:val="en-GB"/>
        </w:rPr>
        <w:t xml:space="preserve"> New York/London: Dover Publications.</w:t>
      </w:r>
    </w:p>
    <w:p w:rsidR="00AC0B7F" w:rsidRPr="00882A04" w:rsidRDefault="00AC0B7F" w:rsidP="00AC0B7F">
      <w:pPr>
        <w:autoSpaceDE w:val="0"/>
        <w:autoSpaceDN w:val="0"/>
        <w:adjustRightInd w:val="0"/>
        <w:ind w:hanging="709"/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color w:val="292526"/>
          <w:sz w:val="22"/>
          <w:szCs w:val="22"/>
          <w:lang w:val="en-US"/>
        </w:rPr>
        <w:tab/>
      </w:r>
      <w:r w:rsidRPr="00882A04">
        <w:rPr>
          <w:rFonts w:ascii="Verdana" w:hAnsi="Verdana" w:cs="Arial"/>
          <w:sz w:val="22"/>
          <w:szCs w:val="22"/>
          <w:lang w:val="en-US"/>
        </w:rPr>
        <w:t xml:space="preserve">Caminos, R. A., 1954. </w:t>
      </w:r>
      <w:r w:rsidRPr="00882A04">
        <w:rPr>
          <w:rFonts w:ascii="Verdana" w:hAnsi="Verdana" w:cs="Arial"/>
          <w:i/>
          <w:iCs/>
          <w:sz w:val="22"/>
          <w:szCs w:val="22"/>
          <w:lang w:val="en-US"/>
        </w:rPr>
        <w:t>Late-Egyptian Miscellanies</w:t>
      </w:r>
      <w:r w:rsidRPr="00882A04">
        <w:rPr>
          <w:rFonts w:ascii="Verdana" w:hAnsi="Verdana" w:cs="Arial"/>
          <w:sz w:val="22"/>
          <w:szCs w:val="22"/>
          <w:lang w:val="en-US"/>
        </w:rPr>
        <w:t>, (Brown Egyptological Studies 1).</w:t>
      </w:r>
    </w:p>
    <w:p w:rsidR="00AC0B7F" w:rsidRPr="00882A04" w:rsidRDefault="00AC0B7F" w:rsidP="00AC0B7F">
      <w:pPr>
        <w:jc w:val="both"/>
        <w:rPr>
          <w:rFonts w:ascii="Verdana" w:hAnsi="Verdana" w:cs="Arial"/>
          <w:sz w:val="22"/>
          <w:szCs w:val="22"/>
          <w:lang w:val="fr-FR"/>
        </w:rPr>
      </w:pPr>
      <w:r w:rsidRPr="00882A04">
        <w:rPr>
          <w:rFonts w:ascii="Verdana" w:hAnsi="Verdana" w:cs="Arial"/>
          <w:sz w:val="22"/>
          <w:szCs w:val="22"/>
          <w:lang w:val="en-US"/>
        </w:rPr>
        <w:t xml:space="preserve">Capart, J. 1928. </w:t>
      </w:r>
      <w:r w:rsidRPr="00882A04">
        <w:rPr>
          <w:rFonts w:ascii="Verdana" w:hAnsi="Verdana" w:cs="Arial"/>
          <w:i/>
          <w:sz w:val="22"/>
          <w:szCs w:val="22"/>
          <w:lang w:val="en-US"/>
        </w:rPr>
        <w:t>Lectures on Egyptian art</w:t>
      </w:r>
      <w:r w:rsidRPr="00882A04">
        <w:rPr>
          <w:rFonts w:ascii="Verdana" w:hAnsi="Verdana" w:cs="Arial"/>
          <w:sz w:val="22"/>
          <w:szCs w:val="22"/>
          <w:lang w:val="en-US"/>
        </w:rPr>
        <w:t xml:space="preserve">, Chapel Hill : Univ. of North Carolina Press. </w:t>
      </w:r>
      <w:r w:rsidRPr="00882A04">
        <w:rPr>
          <w:rFonts w:ascii="Verdana" w:hAnsi="Verdana" w:cs="Arial"/>
          <w:sz w:val="22"/>
          <w:szCs w:val="22"/>
          <w:lang w:val="fr-FR"/>
        </w:rPr>
        <w:t xml:space="preserve">Cherpion, N. 1987. “Quelques jalons pour une histoire de le peinture thébaine”, </w:t>
      </w:r>
      <w:r w:rsidRPr="00882A04">
        <w:rPr>
          <w:rFonts w:ascii="Verdana" w:hAnsi="Verdana" w:cs="Arial"/>
          <w:i/>
          <w:sz w:val="22"/>
          <w:szCs w:val="22"/>
          <w:lang w:val="fr-FR"/>
        </w:rPr>
        <w:t xml:space="preserve">Bulletin de la Société française d’Égyptologie </w:t>
      </w:r>
      <w:r w:rsidRPr="00882A04">
        <w:rPr>
          <w:rFonts w:ascii="Verdana" w:hAnsi="Verdana" w:cs="Arial"/>
          <w:sz w:val="22"/>
          <w:szCs w:val="22"/>
          <w:lang w:val="fr-FR"/>
        </w:rPr>
        <w:t xml:space="preserve">110:27-47. </w:t>
      </w:r>
    </w:p>
    <w:p w:rsidR="00AC0B7F" w:rsidRPr="00882A04" w:rsidRDefault="00AC0B7F" w:rsidP="00AC0B7F">
      <w:pPr>
        <w:tabs>
          <w:tab w:val="left" w:pos="6300"/>
        </w:tabs>
        <w:ind w:hanging="709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fr-FR"/>
        </w:rPr>
        <w:tab/>
      </w:r>
      <w:r w:rsidRPr="00882A04">
        <w:rPr>
          <w:rFonts w:ascii="Verdana" w:hAnsi="Verdana" w:cs="Arial"/>
          <w:sz w:val="22"/>
          <w:szCs w:val="22"/>
          <w:lang w:val="en-US"/>
        </w:rPr>
        <w:t xml:space="preserve">Cerny, J. 1961. The Stela of </w:t>
      </w:r>
      <w:r w:rsidRPr="00882A04">
        <w:rPr>
          <w:rFonts w:ascii="Verdana" w:hAnsi="Verdana" w:cs="Arial"/>
          <w:bCs/>
          <w:sz w:val="22"/>
          <w:szCs w:val="22"/>
          <w:lang w:val="en-US"/>
        </w:rPr>
        <w:t>Merer</w:t>
      </w:r>
      <w:r w:rsidRPr="00882A04">
        <w:rPr>
          <w:rFonts w:ascii="Verdana" w:hAnsi="Verdana" w:cs="Arial"/>
          <w:sz w:val="22"/>
          <w:szCs w:val="22"/>
          <w:lang w:val="en-US"/>
        </w:rPr>
        <w:t xml:space="preserve"> in </w:t>
      </w:r>
      <w:r w:rsidRPr="00882A04">
        <w:rPr>
          <w:rFonts w:ascii="Verdana" w:hAnsi="Verdana" w:cs="Arial"/>
          <w:bCs/>
          <w:sz w:val="22"/>
          <w:szCs w:val="22"/>
          <w:lang w:val="en-US"/>
        </w:rPr>
        <w:t>Cracow</w:t>
      </w:r>
      <w:r w:rsidRPr="00882A04">
        <w:rPr>
          <w:rFonts w:ascii="Verdana" w:hAnsi="Verdana" w:cs="Arial"/>
          <w:sz w:val="22"/>
          <w:szCs w:val="22"/>
          <w:lang w:val="en-US"/>
        </w:rPr>
        <w:t xml:space="preserve">, </w:t>
      </w:r>
      <w:r w:rsidRPr="00882A04">
        <w:rPr>
          <w:rFonts w:ascii="Verdana" w:hAnsi="Verdana" w:cs="Arial"/>
          <w:i/>
          <w:sz w:val="22"/>
          <w:szCs w:val="22"/>
          <w:lang w:val="en-US"/>
        </w:rPr>
        <w:t>JEA</w:t>
      </w:r>
      <w:r w:rsidRPr="00882A04">
        <w:rPr>
          <w:rFonts w:ascii="Verdana" w:hAnsi="Verdana" w:cs="Arial"/>
          <w:sz w:val="22"/>
          <w:szCs w:val="22"/>
          <w:lang w:val="en-US"/>
        </w:rPr>
        <w:t xml:space="preserve"> 47: 5-9.</w:t>
      </w:r>
    </w:p>
    <w:p w:rsidR="00AC0B7F" w:rsidRPr="00882A04" w:rsidRDefault="00AC0B7F" w:rsidP="00AC0B7F">
      <w:pPr>
        <w:jc w:val="both"/>
        <w:rPr>
          <w:rFonts w:ascii="Verdana" w:hAnsi="Verdana" w:cs="Arial"/>
          <w:sz w:val="22"/>
          <w:szCs w:val="22"/>
          <w:lang w:val="fr-FR"/>
        </w:rPr>
      </w:pPr>
      <w:r w:rsidRPr="00882A04">
        <w:rPr>
          <w:rFonts w:ascii="Verdana" w:hAnsi="Verdana" w:cs="Arial"/>
          <w:sz w:val="22"/>
          <w:szCs w:val="22"/>
          <w:lang w:val="fr-FR"/>
        </w:rPr>
        <w:t xml:space="preserve">Colinart, S. y otros.1996. “Couleurs et pigments de la peinture de l’Egypte Ancienne.” </w:t>
      </w:r>
      <w:r w:rsidRPr="00882A04">
        <w:rPr>
          <w:rFonts w:ascii="Verdana" w:hAnsi="Verdana" w:cs="Arial"/>
          <w:i/>
          <w:sz w:val="22"/>
          <w:szCs w:val="22"/>
          <w:lang w:val="fr-FR"/>
        </w:rPr>
        <w:t>Techne</w:t>
      </w:r>
      <w:r w:rsidRPr="00882A04">
        <w:rPr>
          <w:rFonts w:ascii="Verdana" w:hAnsi="Verdana" w:cs="Arial"/>
          <w:sz w:val="22"/>
          <w:szCs w:val="22"/>
          <w:lang w:val="fr-FR"/>
        </w:rPr>
        <w:t xml:space="preserve"> 4: 29-45. </w:t>
      </w:r>
    </w:p>
    <w:p w:rsidR="00AC0B7F" w:rsidRPr="00882A04" w:rsidRDefault="00AC0B7F" w:rsidP="00AC0B7F">
      <w:pPr>
        <w:jc w:val="both"/>
        <w:rPr>
          <w:rFonts w:ascii="Verdana" w:hAnsi="Verdana" w:cs="Arial"/>
          <w:sz w:val="22"/>
          <w:szCs w:val="22"/>
          <w:lang w:val="fr-FR"/>
        </w:rPr>
      </w:pPr>
      <w:r w:rsidRPr="00882A04">
        <w:rPr>
          <w:rFonts w:ascii="Verdana" w:hAnsi="Verdana" w:cs="Arial"/>
          <w:sz w:val="22"/>
          <w:szCs w:val="22"/>
          <w:lang w:val="fr-FR"/>
        </w:rPr>
        <w:t xml:space="preserve">Colinart, S. y Michel Menu, eds. 1998. Couleur dans la peinture et l’émaillage de l’Égypte ancienne: Actes de la Table Ronde Ravello, 20-22 mars 1997. Bari: Edipuglia. Daumas, F. 1976. </w:t>
      </w:r>
      <w:r w:rsidRPr="00882A04">
        <w:rPr>
          <w:rFonts w:ascii="Verdana" w:hAnsi="Verdana" w:cs="Arial"/>
          <w:i/>
          <w:sz w:val="22"/>
          <w:szCs w:val="22"/>
          <w:lang w:val="fr-FR"/>
        </w:rPr>
        <w:t xml:space="preserve">La civilization de l’Égypte pharaonique, </w:t>
      </w:r>
      <w:r w:rsidRPr="00882A04">
        <w:rPr>
          <w:rFonts w:ascii="Verdana" w:hAnsi="Verdana" w:cs="Arial"/>
          <w:sz w:val="22"/>
          <w:szCs w:val="22"/>
          <w:lang w:val="fr-FR"/>
        </w:rPr>
        <w:t xml:space="preserve">Arthaud: París. </w:t>
      </w:r>
    </w:p>
    <w:p w:rsidR="00AC0B7F" w:rsidRPr="00882A04" w:rsidRDefault="00AC0B7F" w:rsidP="00AC0B7F">
      <w:pPr>
        <w:jc w:val="both"/>
        <w:rPr>
          <w:rFonts w:ascii="Verdana" w:hAnsi="Verdana" w:cs="Arial"/>
          <w:sz w:val="22"/>
          <w:szCs w:val="22"/>
          <w:lang w:val="fr-FR"/>
        </w:rPr>
      </w:pPr>
      <w:r w:rsidRPr="00882A04">
        <w:rPr>
          <w:rFonts w:ascii="Verdana" w:hAnsi="Verdana" w:cs="Arial"/>
          <w:sz w:val="22"/>
          <w:szCs w:val="22"/>
          <w:lang w:val="fr-FR"/>
        </w:rPr>
        <w:t xml:space="preserve">Davies, Vivian, 2001. </w:t>
      </w:r>
      <w:r w:rsidRPr="00882A04">
        <w:rPr>
          <w:rFonts w:ascii="Verdana" w:hAnsi="Verdana" w:cs="Arial"/>
          <w:i/>
          <w:sz w:val="22"/>
          <w:szCs w:val="22"/>
          <w:lang w:val="fr-FR"/>
        </w:rPr>
        <w:t>Colour and Painting in Ancient Egypt</w:t>
      </w:r>
      <w:r w:rsidRPr="00882A04">
        <w:rPr>
          <w:rFonts w:ascii="Verdana" w:hAnsi="Verdana" w:cs="Arial"/>
          <w:sz w:val="22"/>
          <w:szCs w:val="22"/>
          <w:lang w:val="fr-FR"/>
        </w:rPr>
        <w:t xml:space="preserve">, British Museum Press: Londres. </w:t>
      </w:r>
    </w:p>
    <w:p w:rsidR="00AC0B7F" w:rsidRPr="00882A04" w:rsidRDefault="00AC0B7F" w:rsidP="00AC0B7F">
      <w:pPr>
        <w:ind w:hanging="3"/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/>
        </w:rPr>
        <w:t xml:space="preserve">Davies, W. V., ed. 2001. </w:t>
      </w:r>
      <w:r w:rsidRPr="00882A04">
        <w:rPr>
          <w:rFonts w:ascii="Verdana" w:hAnsi="Verdana" w:cs="Arial"/>
          <w:i/>
          <w:sz w:val="22"/>
          <w:szCs w:val="22"/>
          <w:lang w:val="en-US"/>
        </w:rPr>
        <w:t>Colour and Painting in Ancient Egypt</w:t>
      </w:r>
      <w:r w:rsidRPr="00882A04">
        <w:rPr>
          <w:rFonts w:ascii="Verdana" w:hAnsi="Verdana" w:cs="Arial"/>
          <w:sz w:val="22"/>
          <w:szCs w:val="22"/>
          <w:lang w:val="en-US"/>
        </w:rPr>
        <w:t xml:space="preserve">, British Museum Press: Londres. </w:t>
      </w:r>
    </w:p>
    <w:p w:rsidR="00AC0B7F" w:rsidRPr="00882A04" w:rsidRDefault="00AC0B7F" w:rsidP="00AC0B7F">
      <w:pPr>
        <w:ind w:left="706" w:hanging="709"/>
        <w:jc w:val="both"/>
        <w:rPr>
          <w:rFonts w:ascii="Verdana" w:hAnsi="Verdana" w:cs="Arial"/>
          <w:sz w:val="22"/>
          <w:szCs w:val="22"/>
          <w:lang w:val="fr-FR"/>
        </w:rPr>
      </w:pPr>
      <w:r w:rsidRPr="00882A04">
        <w:rPr>
          <w:rFonts w:ascii="Verdana" w:hAnsi="Verdana" w:cs="Arial"/>
          <w:sz w:val="22"/>
          <w:szCs w:val="22"/>
          <w:lang w:val="en-GB"/>
        </w:rPr>
        <w:t xml:space="preserve">De Buck, A., 1948. </w:t>
      </w:r>
      <w:r w:rsidRPr="00882A04">
        <w:rPr>
          <w:rFonts w:ascii="Verdana" w:hAnsi="Verdana" w:cs="Arial"/>
          <w:i/>
          <w:sz w:val="22"/>
          <w:szCs w:val="22"/>
          <w:lang w:val="en-GB"/>
        </w:rPr>
        <w:t xml:space="preserve">Egyptian Reading-book. Exercises and Middle Egyptian Texts. </w:t>
      </w:r>
      <w:r w:rsidRPr="00882A04">
        <w:rPr>
          <w:rFonts w:ascii="Verdana" w:hAnsi="Verdana" w:cs="Arial"/>
          <w:i/>
          <w:sz w:val="22"/>
          <w:szCs w:val="22"/>
          <w:lang w:val="fr-FR"/>
        </w:rPr>
        <w:t>I</w:t>
      </w:r>
      <w:r w:rsidRPr="00882A04">
        <w:rPr>
          <w:rFonts w:ascii="Verdana" w:hAnsi="Verdana" w:cs="Arial"/>
          <w:sz w:val="22"/>
          <w:szCs w:val="22"/>
          <w:lang w:val="fr-FR"/>
        </w:rPr>
        <w:t>.</w:t>
      </w:r>
    </w:p>
    <w:p w:rsidR="00AC0B7F" w:rsidRPr="00882A04" w:rsidRDefault="00AC0B7F" w:rsidP="00AC0B7F">
      <w:pPr>
        <w:ind w:hanging="3"/>
        <w:rPr>
          <w:rFonts w:ascii="Verdana" w:hAnsi="Verdana" w:cs="Arial"/>
          <w:sz w:val="22"/>
          <w:szCs w:val="22"/>
          <w:lang w:val="fr-FR"/>
        </w:rPr>
      </w:pPr>
      <w:r w:rsidRPr="00882A04">
        <w:rPr>
          <w:rFonts w:ascii="Verdana" w:hAnsi="Verdana" w:cs="Arial"/>
          <w:sz w:val="22"/>
          <w:szCs w:val="22"/>
          <w:lang w:val="fr-FR"/>
        </w:rPr>
        <w:t xml:space="preserve">De Buck, A., 1952. </w:t>
      </w:r>
      <w:r w:rsidRPr="00882A04">
        <w:rPr>
          <w:rFonts w:ascii="Verdana" w:hAnsi="Verdana" w:cs="Arial"/>
          <w:i/>
          <w:sz w:val="22"/>
          <w:szCs w:val="22"/>
          <w:lang w:val="fr-FR"/>
        </w:rPr>
        <w:t>Grammaire élementaire du Moyen Egyptien</w:t>
      </w:r>
      <w:r w:rsidRPr="00882A04">
        <w:rPr>
          <w:rFonts w:ascii="Verdana" w:hAnsi="Verdana" w:cs="Arial"/>
          <w:sz w:val="22"/>
          <w:szCs w:val="22"/>
          <w:lang w:val="fr-FR"/>
        </w:rPr>
        <w:t>, Leiden: Brill.</w:t>
      </w:r>
    </w:p>
    <w:p w:rsidR="00AC0B7F" w:rsidRPr="00882A04" w:rsidRDefault="00AC0B7F" w:rsidP="00AC0B7F">
      <w:pPr>
        <w:ind w:hanging="3"/>
        <w:jc w:val="both"/>
        <w:rPr>
          <w:rFonts w:ascii="Verdana" w:hAnsi="Verdana" w:cs="Arial"/>
          <w:sz w:val="22"/>
          <w:szCs w:val="22"/>
          <w:lang w:val="fr-FR"/>
        </w:rPr>
      </w:pPr>
      <w:r w:rsidRPr="00882A04">
        <w:rPr>
          <w:rFonts w:ascii="Verdana" w:hAnsi="Verdana" w:cs="Arial"/>
          <w:sz w:val="22"/>
          <w:szCs w:val="22"/>
          <w:lang w:val="fr-FR"/>
        </w:rPr>
        <w:lastRenderedPageBreak/>
        <w:t xml:space="preserve">el-Shahawy, A. 2010. </w:t>
      </w:r>
      <w:r w:rsidRPr="00882A04">
        <w:rPr>
          <w:rFonts w:ascii="Verdana" w:hAnsi="Verdana" w:cs="Arial"/>
          <w:i/>
          <w:sz w:val="22"/>
          <w:szCs w:val="22"/>
          <w:lang w:val="fr-FR"/>
        </w:rPr>
        <w:t>Recherche sur la décoration des tombes thébaines du Nouvel Empire: originalités, iconographiques et innovations</w:t>
      </w:r>
      <w:r w:rsidRPr="00882A04">
        <w:rPr>
          <w:rFonts w:ascii="Verdana" w:hAnsi="Verdana" w:cs="Arial"/>
          <w:sz w:val="22"/>
          <w:szCs w:val="22"/>
          <w:lang w:val="fr-FR"/>
        </w:rPr>
        <w:t xml:space="preserve">, Golden House : Berlín y Londres. </w:t>
      </w:r>
    </w:p>
    <w:p w:rsidR="00AC0B7F" w:rsidRPr="00882A04" w:rsidRDefault="00AC0B7F" w:rsidP="00AC0B7F">
      <w:pPr>
        <w:suppressAutoHyphens w:val="0"/>
        <w:autoSpaceDE w:val="0"/>
        <w:autoSpaceDN w:val="0"/>
        <w:adjustRightInd w:val="0"/>
        <w:ind w:hanging="3"/>
        <w:rPr>
          <w:rFonts w:ascii="Verdana" w:hAnsi="Verdana" w:cs="Arial"/>
          <w:sz w:val="22"/>
          <w:szCs w:val="22"/>
          <w:lang w:val="de-DE" w:eastAsia="es-ES"/>
        </w:rPr>
      </w:pPr>
      <w:r w:rsidRPr="00882A04">
        <w:rPr>
          <w:rFonts w:ascii="Verdana" w:hAnsi="Verdana" w:cs="Arial"/>
          <w:sz w:val="22"/>
          <w:szCs w:val="22"/>
          <w:lang w:val="de-DE" w:eastAsia="es-ES"/>
        </w:rPr>
        <w:t xml:space="preserve">Erman, A.; Grapow, H., 1992. </w:t>
      </w:r>
      <w:r w:rsidRPr="00882A04">
        <w:rPr>
          <w:rFonts w:ascii="Verdana" w:hAnsi="Verdana" w:cs="Arial"/>
          <w:i/>
          <w:sz w:val="22"/>
          <w:szCs w:val="22"/>
          <w:lang w:val="de-DE" w:eastAsia="es-ES"/>
        </w:rPr>
        <w:t>Wörterbuch der aegyptischen Sprache: die Belegstellen / im Auftrage der deutschen Akademien; herausgegeben (</w:t>
      </w:r>
      <w:r w:rsidRPr="00882A04">
        <w:rPr>
          <w:rFonts w:ascii="Verdana" w:hAnsi="Verdana" w:cs="Arial"/>
          <w:sz w:val="22"/>
          <w:szCs w:val="22"/>
          <w:lang w:val="de-DE" w:eastAsia="es-ES"/>
        </w:rPr>
        <w:t>6 vol), Berlin : Akademie-Verlag.</w:t>
      </w:r>
    </w:p>
    <w:p w:rsidR="00AC0B7F" w:rsidRPr="00882A04" w:rsidRDefault="00AC0B7F" w:rsidP="00AC0B7F">
      <w:pPr>
        <w:ind w:hanging="3"/>
        <w:jc w:val="both"/>
        <w:rPr>
          <w:rFonts w:ascii="Verdana" w:hAnsi="Verdana" w:cs="Arial"/>
          <w:sz w:val="22"/>
          <w:szCs w:val="22"/>
        </w:rPr>
      </w:pPr>
      <w:r w:rsidRPr="00882A04">
        <w:rPr>
          <w:rFonts w:ascii="Verdana" w:hAnsi="Verdana" w:cs="Arial"/>
          <w:sz w:val="22"/>
          <w:szCs w:val="22"/>
          <w:lang w:val="es-ES_tradnl"/>
        </w:rPr>
        <w:t xml:space="preserve">Espinel, D. 2009. El Reino Medio. </w:t>
      </w:r>
      <w:r w:rsidRPr="00882A04">
        <w:rPr>
          <w:rFonts w:ascii="Verdana" w:hAnsi="Verdana" w:cs="Arial"/>
          <w:sz w:val="22"/>
          <w:szCs w:val="22"/>
        </w:rPr>
        <w:t xml:space="preserve">En J.M. Parra Ortiz, </w:t>
      </w:r>
      <w:r w:rsidRPr="00882A04">
        <w:rPr>
          <w:rFonts w:ascii="Verdana" w:hAnsi="Verdana" w:cs="Arial"/>
          <w:i/>
          <w:sz w:val="22"/>
          <w:szCs w:val="22"/>
        </w:rPr>
        <w:t>El Antiguo Egipto</w:t>
      </w:r>
      <w:r w:rsidRPr="00882A04">
        <w:rPr>
          <w:rFonts w:ascii="Verdana" w:hAnsi="Verdana" w:cs="Arial"/>
          <w:sz w:val="22"/>
          <w:szCs w:val="22"/>
        </w:rPr>
        <w:t>. Madrid: Marcial Pons: 209-271.</w:t>
      </w:r>
    </w:p>
    <w:p w:rsidR="00AC0B7F" w:rsidRPr="00882A04" w:rsidRDefault="00AC0B7F" w:rsidP="00AC0B7F">
      <w:pPr>
        <w:ind w:hanging="3"/>
        <w:jc w:val="both"/>
        <w:rPr>
          <w:rFonts w:ascii="Verdana" w:hAnsi="Verdana" w:cs="Arial"/>
          <w:sz w:val="22"/>
          <w:szCs w:val="22"/>
        </w:rPr>
      </w:pPr>
      <w:r w:rsidRPr="00882A04">
        <w:rPr>
          <w:rFonts w:ascii="Verdana" w:hAnsi="Verdana" w:cs="Arial"/>
          <w:sz w:val="22"/>
          <w:szCs w:val="22"/>
        </w:rPr>
        <w:t xml:space="preserve">Farina, G. 1929. </w:t>
      </w:r>
      <w:r w:rsidRPr="00882A04">
        <w:rPr>
          <w:rFonts w:ascii="Verdana" w:hAnsi="Verdana" w:cs="Arial"/>
          <w:i/>
          <w:sz w:val="22"/>
          <w:szCs w:val="22"/>
        </w:rPr>
        <w:t>La pittura egiziana</w:t>
      </w:r>
      <w:r w:rsidRPr="00882A04">
        <w:rPr>
          <w:rFonts w:ascii="Verdana" w:hAnsi="Verdana" w:cs="Arial"/>
          <w:sz w:val="22"/>
          <w:szCs w:val="22"/>
        </w:rPr>
        <w:t xml:space="preserve">,Treves: Milán. </w:t>
      </w:r>
    </w:p>
    <w:p w:rsidR="00AC0B7F" w:rsidRPr="00882A04" w:rsidRDefault="00AC0B7F" w:rsidP="00AC0B7F">
      <w:pPr>
        <w:suppressAutoHyphens w:val="0"/>
        <w:autoSpaceDE w:val="0"/>
        <w:autoSpaceDN w:val="0"/>
        <w:adjustRightInd w:val="0"/>
        <w:ind w:hanging="3"/>
        <w:rPr>
          <w:rFonts w:ascii="Verdana" w:hAnsi="Verdana" w:cs="Arial"/>
          <w:sz w:val="22"/>
          <w:szCs w:val="22"/>
          <w:lang w:val="de-DE" w:eastAsia="es-ES"/>
        </w:rPr>
      </w:pPr>
      <w:r w:rsidRPr="00882A04">
        <w:rPr>
          <w:rFonts w:ascii="Verdana" w:hAnsi="Verdana" w:cs="Arial"/>
          <w:bCs/>
          <w:color w:val="000000"/>
          <w:sz w:val="22"/>
          <w:szCs w:val="22"/>
          <w:lang w:val="de-DE"/>
        </w:rPr>
        <w:t>Faulkner</w:t>
      </w:r>
      <w:r w:rsidRPr="00882A04">
        <w:rPr>
          <w:rFonts w:ascii="Verdana" w:hAnsi="Verdana" w:cs="Arial"/>
          <w:color w:val="000000"/>
          <w:sz w:val="22"/>
          <w:szCs w:val="22"/>
          <w:lang w:val="de-DE"/>
        </w:rPr>
        <w:t xml:space="preserve">, R.O. </w:t>
      </w:r>
      <w:smartTag w:uri="urn:schemas-microsoft-com:office:smarttags" w:element="metricconverter">
        <w:smartTagPr>
          <w:attr w:name="ProductID" w:val="1991. A"/>
        </w:smartTagPr>
        <w:r w:rsidRPr="00882A04">
          <w:rPr>
            <w:rFonts w:ascii="Verdana" w:hAnsi="Verdana" w:cs="Arial"/>
            <w:color w:val="000000"/>
            <w:sz w:val="22"/>
            <w:szCs w:val="22"/>
            <w:lang w:val="de-DE"/>
          </w:rPr>
          <w:t xml:space="preserve">1991. </w:t>
        </w:r>
        <w:r w:rsidRPr="00882A04">
          <w:rPr>
            <w:rFonts w:ascii="Verdana" w:hAnsi="Verdana" w:cs="Arial"/>
            <w:i/>
            <w:color w:val="000000"/>
            <w:sz w:val="22"/>
            <w:szCs w:val="22"/>
            <w:lang w:val="de-DE"/>
          </w:rPr>
          <w:t>A</w:t>
        </w:r>
      </w:smartTag>
      <w:r w:rsidRPr="00882A04">
        <w:rPr>
          <w:rFonts w:ascii="Verdana" w:hAnsi="Verdana" w:cs="Arial"/>
          <w:i/>
          <w:color w:val="000000"/>
          <w:sz w:val="22"/>
          <w:szCs w:val="22"/>
          <w:lang w:val="de-DE"/>
        </w:rPr>
        <w:t xml:space="preserve"> </w:t>
      </w:r>
      <w:r w:rsidRPr="00882A04">
        <w:rPr>
          <w:rFonts w:ascii="Verdana" w:hAnsi="Verdana" w:cs="Arial"/>
          <w:bCs/>
          <w:i/>
          <w:color w:val="000000"/>
          <w:sz w:val="22"/>
          <w:szCs w:val="22"/>
          <w:lang w:val="de-DE"/>
        </w:rPr>
        <w:t>Concise Dictionary of Middle Egyptian</w:t>
      </w:r>
      <w:r w:rsidRPr="00882A04">
        <w:rPr>
          <w:rFonts w:ascii="Verdana" w:hAnsi="Verdana" w:cs="Arial"/>
          <w:color w:val="000000"/>
          <w:sz w:val="22"/>
          <w:szCs w:val="22"/>
          <w:lang w:val="de-DE"/>
        </w:rPr>
        <w:t>, Oxford: Griffith Institute.</w:t>
      </w:r>
    </w:p>
    <w:p w:rsidR="00AC0B7F" w:rsidRPr="00882A04" w:rsidRDefault="00AC0B7F" w:rsidP="00AC0B7F">
      <w:pPr>
        <w:ind w:hanging="3"/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/>
        </w:rPr>
        <w:t xml:space="preserve">Feagin, S. “Painting.” Oxford Handbooks Online. </w:t>
      </w:r>
    </w:p>
    <w:p w:rsidR="00AC0B7F" w:rsidRPr="00882A04" w:rsidRDefault="00AC0B7F" w:rsidP="00AC0B7F">
      <w:pPr>
        <w:ind w:hanging="3"/>
        <w:jc w:val="both"/>
        <w:rPr>
          <w:rFonts w:ascii="Verdana" w:hAnsi="Verdana" w:cs="Arial"/>
          <w:sz w:val="22"/>
          <w:szCs w:val="22"/>
        </w:rPr>
      </w:pPr>
      <w:r w:rsidRPr="00882A04">
        <w:rPr>
          <w:rFonts w:ascii="Verdana" w:hAnsi="Verdana" w:cs="Arial"/>
          <w:sz w:val="22"/>
          <w:szCs w:val="22"/>
          <w:lang w:val="fr-FR"/>
        </w:rPr>
        <w:t xml:space="preserve">Fischer, H. G. 1986. L’écriture et l’art de l’Égypte ancienne: Quatre leçons sur la paléographie et l’épigraphie pharaoniques, Presses Universitaires de France : París. </w:t>
      </w:r>
      <w:r w:rsidRPr="00882A04">
        <w:rPr>
          <w:rFonts w:ascii="Verdana" w:hAnsi="Verdana" w:cs="Arial"/>
          <w:sz w:val="22"/>
          <w:szCs w:val="22"/>
        </w:rPr>
        <w:t xml:space="preserve">F </w:t>
      </w:r>
    </w:p>
    <w:p w:rsidR="00AC0B7F" w:rsidRPr="00882A04" w:rsidRDefault="00AC0B7F" w:rsidP="00AC0B7F">
      <w:pPr>
        <w:spacing w:line="360" w:lineRule="auto"/>
        <w:ind w:hanging="3"/>
        <w:jc w:val="both"/>
        <w:rPr>
          <w:rFonts w:ascii="Verdana" w:hAnsi="Verdana" w:cs="Arial"/>
          <w:sz w:val="22"/>
          <w:szCs w:val="22"/>
        </w:rPr>
      </w:pPr>
      <w:r w:rsidRPr="00882A04">
        <w:rPr>
          <w:rFonts w:ascii="Verdana" w:hAnsi="Verdana" w:cs="Arial"/>
          <w:sz w:val="22"/>
          <w:szCs w:val="22"/>
        </w:rPr>
        <w:t xml:space="preserve">Frankfort, Henri, </w:t>
      </w:r>
      <w:r w:rsidRPr="00882A04">
        <w:rPr>
          <w:rFonts w:ascii="Verdana" w:hAnsi="Verdana" w:cs="Arial"/>
          <w:i/>
          <w:iCs/>
          <w:sz w:val="22"/>
          <w:szCs w:val="22"/>
        </w:rPr>
        <w:t>Reyes y dioses</w:t>
      </w:r>
      <w:r w:rsidRPr="00882A04">
        <w:rPr>
          <w:rFonts w:ascii="Verdana" w:hAnsi="Verdana" w:cs="Arial"/>
          <w:sz w:val="22"/>
          <w:szCs w:val="22"/>
        </w:rPr>
        <w:t>, Madrid: Alianza, 1998 [1948].</w:t>
      </w:r>
    </w:p>
    <w:p w:rsidR="00AC0B7F" w:rsidRPr="00882A04" w:rsidRDefault="00AC0B7F" w:rsidP="00AC0B7F">
      <w:pPr>
        <w:ind w:hanging="3"/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/>
        </w:rPr>
        <w:t xml:space="preserve">Freed, R. E. 1999. “Art in the Service of Religion and the State”, en </w:t>
      </w:r>
      <w:r w:rsidRPr="00882A04">
        <w:rPr>
          <w:rFonts w:ascii="Verdana" w:hAnsi="Verdana" w:cs="Arial"/>
          <w:i/>
          <w:sz w:val="22"/>
          <w:szCs w:val="22"/>
          <w:lang w:val="en-US"/>
        </w:rPr>
        <w:t>Pharaohs of the sun: Akhenaten, Nefertiti, Tutankhamen</w:t>
      </w:r>
      <w:r w:rsidRPr="00882A04">
        <w:rPr>
          <w:rFonts w:ascii="Verdana" w:hAnsi="Verdana" w:cs="Arial"/>
          <w:sz w:val="22"/>
          <w:szCs w:val="22"/>
          <w:lang w:val="en-US"/>
        </w:rPr>
        <w:t xml:space="preserve">, Boston: Museum of Fine Arts in association with Bulfinch Press/Little, Brown and Company: 110-129. </w:t>
      </w:r>
    </w:p>
    <w:p w:rsidR="00AC0B7F" w:rsidRPr="00882A04" w:rsidRDefault="00AC0B7F" w:rsidP="00AC0B7F">
      <w:pPr>
        <w:suppressAutoHyphens w:val="0"/>
        <w:autoSpaceDE w:val="0"/>
        <w:autoSpaceDN w:val="0"/>
        <w:adjustRightInd w:val="0"/>
        <w:ind w:hanging="709"/>
        <w:rPr>
          <w:rFonts w:ascii="Verdana" w:hAnsi="Verdana" w:cs="Arial"/>
          <w:sz w:val="22"/>
          <w:szCs w:val="22"/>
          <w:lang w:val="fr-FR"/>
        </w:rPr>
      </w:pPr>
      <w:r w:rsidRPr="00882A04">
        <w:rPr>
          <w:rFonts w:ascii="Verdana" w:hAnsi="Verdana" w:cs="Arial"/>
          <w:color w:val="292526"/>
          <w:sz w:val="22"/>
          <w:szCs w:val="22"/>
          <w:lang w:val="de-DE"/>
        </w:rPr>
        <w:tab/>
      </w:r>
      <w:r w:rsidRPr="00882A04">
        <w:rPr>
          <w:rFonts w:ascii="Verdana" w:hAnsi="Verdana" w:cs="Arial"/>
          <w:sz w:val="22"/>
          <w:szCs w:val="22"/>
          <w:lang w:val="en-US"/>
        </w:rPr>
        <w:t xml:space="preserve">Gardiner, A.H., 1932. </w:t>
      </w:r>
      <w:r w:rsidRPr="00882A04">
        <w:rPr>
          <w:rFonts w:ascii="Verdana" w:hAnsi="Verdana" w:cs="Arial"/>
          <w:i/>
          <w:sz w:val="22"/>
          <w:szCs w:val="22"/>
          <w:lang w:val="en-US"/>
        </w:rPr>
        <w:t>Late Egyptian Stories</w:t>
      </w:r>
      <w:r w:rsidRPr="00882A04">
        <w:rPr>
          <w:rFonts w:ascii="Verdana" w:hAnsi="Verdana" w:cs="Arial"/>
          <w:sz w:val="22"/>
          <w:szCs w:val="22"/>
          <w:lang w:val="en-US"/>
        </w:rPr>
        <w:t xml:space="preserve">. </w:t>
      </w:r>
      <w:r w:rsidRPr="00882A04">
        <w:rPr>
          <w:rFonts w:ascii="Verdana" w:hAnsi="Verdana" w:cs="Arial"/>
          <w:sz w:val="22"/>
          <w:szCs w:val="22"/>
          <w:lang w:val="fr-FR"/>
        </w:rPr>
        <w:t>Bibliotheca Aegyptiaca, I. Bruxelles: Fondation Égyptologique Reine Élisabeth.</w:t>
      </w:r>
    </w:p>
    <w:p w:rsidR="00AC0B7F" w:rsidRPr="00882A04" w:rsidRDefault="00AC0B7F" w:rsidP="00AC0B7F">
      <w:pPr>
        <w:rPr>
          <w:rFonts w:ascii="Verdana" w:hAnsi="Verdana" w:cs="Arial"/>
          <w:color w:val="000000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de-DE"/>
        </w:rPr>
        <w:t xml:space="preserve">Gardiner, A.H. 1988. </w:t>
      </w:r>
      <w:r w:rsidRPr="00882A04">
        <w:rPr>
          <w:rFonts w:ascii="Verdana" w:hAnsi="Verdana" w:cs="Arial"/>
          <w:i/>
          <w:sz w:val="22"/>
          <w:szCs w:val="22"/>
          <w:lang w:val="de-DE"/>
        </w:rPr>
        <w:t>Egyptia</w:t>
      </w:r>
      <w:r w:rsidRPr="00882A04">
        <w:rPr>
          <w:rFonts w:ascii="Verdana" w:hAnsi="Verdana" w:cs="Arial"/>
          <w:i/>
          <w:sz w:val="22"/>
          <w:szCs w:val="22"/>
          <w:lang w:val="en-GB"/>
        </w:rPr>
        <w:t>n Grammar</w:t>
      </w:r>
      <w:r w:rsidRPr="00882A04">
        <w:rPr>
          <w:rFonts w:ascii="Verdana" w:hAnsi="Verdana" w:cs="Arial"/>
          <w:sz w:val="22"/>
          <w:szCs w:val="22"/>
          <w:lang w:val="en-GB"/>
        </w:rPr>
        <w:t xml:space="preserve">. </w:t>
      </w:r>
      <w:r w:rsidRPr="00882A04">
        <w:rPr>
          <w:rFonts w:ascii="Verdana" w:hAnsi="Verdana" w:cs="Arial"/>
          <w:sz w:val="22"/>
          <w:szCs w:val="22"/>
          <w:lang w:val="en-US"/>
        </w:rPr>
        <w:t xml:space="preserve">Oxford: </w:t>
      </w:r>
      <w:r w:rsidRPr="00882A04">
        <w:rPr>
          <w:rFonts w:ascii="Verdana" w:hAnsi="Verdana" w:cs="Arial"/>
          <w:color w:val="000000"/>
          <w:sz w:val="22"/>
          <w:szCs w:val="22"/>
          <w:lang w:val="en-US"/>
        </w:rPr>
        <w:t>Griffith Institute, Ashmolean Museum.</w:t>
      </w:r>
    </w:p>
    <w:p w:rsidR="00AC0B7F" w:rsidRPr="00882A04" w:rsidRDefault="00AC0B7F" w:rsidP="00AC0B7F">
      <w:pPr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</w:rPr>
        <w:t xml:space="preserve">Gardiner, A.H. 1995. </w:t>
      </w:r>
      <w:r w:rsidRPr="00882A04">
        <w:rPr>
          <w:rFonts w:ascii="Verdana" w:hAnsi="Verdana" w:cs="Arial"/>
          <w:i/>
          <w:sz w:val="22"/>
          <w:szCs w:val="22"/>
        </w:rPr>
        <w:t>Gramática egipcia</w:t>
      </w:r>
      <w:r w:rsidRPr="00882A04">
        <w:rPr>
          <w:rFonts w:ascii="Verdana" w:hAnsi="Verdana" w:cs="Arial"/>
          <w:sz w:val="22"/>
          <w:szCs w:val="22"/>
        </w:rPr>
        <w:t xml:space="preserve">: </w:t>
      </w:r>
      <w:r w:rsidRPr="00882A04">
        <w:rPr>
          <w:rFonts w:ascii="Verdana" w:hAnsi="Verdana" w:cs="Arial"/>
          <w:i/>
          <w:sz w:val="22"/>
          <w:szCs w:val="22"/>
        </w:rPr>
        <w:t>una introducción a los jeroglíficos</w:t>
      </w:r>
      <w:r w:rsidRPr="00882A04">
        <w:rPr>
          <w:rFonts w:ascii="Verdana" w:hAnsi="Verdana" w:cs="Arial"/>
          <w:sz w:val="22"/>
          <w:szCs w:val="22"/>
        </w:rPr>
        <w:t xml:space="preserve">. </w:t>
      </w:r>
      <w:r w:rsidRPr="00882A04">
        <w:rPr>
          <w:rFonts w:ascii="Verdana" w:hAnsi="Verdana" w:cs="Arial"/>
          <w:sz w:val="22"/>
          <w:szCs w:val="22"/>
          <w:lang w:val="en-US"/>
        </w:rPr>
        <w:t>Valencia: Lepsius.</w:t>
      </w:r>
    </w:p>
    <w:p w:rsidR="00AC0B7F" w:rsidRPr="00882A04" w:rsidRDefault="00AC0B7F" w:rsidP="00AC0B7F">
      <w:pPr>
        <w:ind w:hanging="3"/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/>
        </w:rPr>
        <w:t xml:space="preserve">Goldwasser, O. 2002. </w:t>
      </w:r>
      <w:r w:rsidRPr="00882A04">
        <w:rPr>
          <w:rFonts w:ascii="Verdana" w:hAnsi="Verdana" w:cs="Arial"/>
          <w:i/>
          <w:sz w:val="22"/>
          <w:szCs w:val="22"/>
          <w:lang w:val="en-US"/>
        </w:rPr>
        <w:t>Prophets, lovers and giraffes: wor(l)d classification in ancient Egypt</w:t>
      </w:r>
      <w:r w:rsidRPr="00882A04">
        <w:rPr>
          <w:rFonts w:ascii="Verdana" w:hAnsi="Verdana" w:cs="Arial"/>
          <w:sz w:val="22"/>
          <w:szCs w:val="22"/>
          <w:lang w:val="en-US"/>
        </w:rPr>
        <w:t xml:space="preserve">, Harrassowitz: Wiesbaden. </w:t>
      </w:r>
    </w:p>
    <w:p w:rsidR="00AC0B7F" w:rsidRPr="00882A04" w:rsidRDefault="00AC0B7F" w:rsidP="00AC0B7F">
      <w:pPr>
        <w:ind w:left="706" w:hanging="709"/>
        <w:jc w:val="both"/>
        <w:rPr>
          <w:rFonts w:ascii="Verdana" w:hAnsi="Verdana" w:cs="Arial"/>
          <w:sz w:val="22"/>
          <w:szCs w:val="22"/>
          <w:lang w:val="de-DE"/>
        </w:rPr>
      </w:pPr>
      <w:r w:rsidRPr="00882A04">
        <w:rPr>
          <w:rFonts w:ascii="Verdana" w:hAnsi="Verdana" w:cs="Arial"/>
          <w:sz w:val="22"/>
          <w:szCs w:val="22"/>
          <w:lang w:val="de-DE"/>
        </w:rPr>
        <w:t xml:space="preserve">Graefe, E. 1994. </w:t>
      </w:r>
      <w:r w:rsidRPr="00882A04">
        <w:rPr>
          <w:rFonts w:ascii="Verdana" w:hAnsi="Verdana" w:cs="Arial"/>
          <w:i/>
          <w:sz w:val="22"/>
          <w:szCs w:val="22"/>
          <w:lang w:val="de-DE"/>
        </w:rPr>
        <w:t>Mittelägyptische. Grammatik für Anfänger. 4., völlig überarbeitete Auflage unter Mitarbeit von Jochen Kahl</w:t>
      </w:r>
      <w:r w:rsidRPr="00882A04">
        <w:rPr>
          <w:rFonts w:ascii="Verdana" w:hAnsi="Verdana" w:cs="Arial"/>
          <w:sz w:val="22"/>
          <w:szCs w:val="22"/>
          <w:lang w:val="de-DE"/>
        </w:rPr>
        <w:t>. Wiesbaden: Harrassowitz.</w:t>
      </w:r>
    </w:p>
    <w:p w:rsidR="00AC0B7F" w:rsidRPr="00882A04" w:rsidRDefault="00AC0B7F" w:rsidP="00AC0B7F">
      <w:pPr>
        <w:ind w:left="706" w:hanging="709"/>
        <w:jc w:val="both"/>
        <w:rPr>
          <w:rFonts w:ascii="Verdana" w:hAnsi="Verdana" w:cs="Arial"/>
          <w:sz w:val="22"/>
          <w:szCs w:val="22"/>
          <w:lang w:val="en-GB"/>
        </w:rPr>
      </w:pPr>
      <w:r w:rsidRPr="00882A04">
        <w:rPr>
          <w:rFonts w:ascii="Verdana" w:hAnsi="Verdana" w:cs="Arial"/>
          <w:sz w:val="22"/>
          <w:szCs w:val="22"/>
          <w:lang w:val="fr-FR"/>
        </w:rPr>
        <w:t xml:space="preserve">Grandet, P. y B. Mathieu, 1997. </w:t>
      </w:r>
      <w:r w:rsidRPr="00882A04">
        <w:rPr>
          <w:rFonts w:ascii="Verdana" w:hAnsi="Verdana" w:cs="Arial"/>
          <w:i/>
          <w:sz w:val="22"/>
          <w:szCs w:val="22"/>
          <w:lang w:val="fr-FR"/>
        </w:rPr>
        <w:t>Cours d'egyptien hiéroglyphique</w:t>
      </w:r>
      <w:r w:rsidRPr="00882A04">
        <w:rPr>
          <w:rFonts w:ascii="Verdana" w:hAnsi="Verdana" w:cs="Arial"/>
          <w:sz w:val="22"/>
          <w:szCs w:val="22"/>
          <w:lang w:val="fr-FR"/>
        </w:rPr>
        <w:t xml:space="preserve">. </w:t>
      </w:r>
      <w:r w:rsidRPr="00882A04">
        <w:rPr>
          <w:rFonts w:ascii="Verdana" w:hAnsi="Verdana" w:cs="Arial"/>
          <w:sz w:val="22"/>
          <w:szCs w:val="22"/>
          <w:lang w:val="en-GB"/>
        </w:rPr>
        <w:t>París: Kheops.</w:t>
      </w:r>
    </w:p>
    <w:p w:rsidR="00AC0B7F" w:rsidRPr="00882A04" w:rsidRDefault="00AC0B7F" w:rsidP="00AC0B7F">
      <w:pPr>
        <w:ind w:hanging="3"/>
        <w:jc w:val="both"/>
        <w:rPr>
          <w:rFonts w:ascii="Verdana" w:hAnsi="Verdana" w:cs="Arial"/>
          <w:sz w:val="22"/>
          <w:szCs w:val="22"/>
          <w:lang w:val="en-GB"/>
        </w:rPr>
      </w:pPr>
      <w:r w:rsidRPr="00882A04">
        <w:rPr>
          <w:rFonts w:ascii="Verdana" w:hAnsi="Verdana" w:cs="Arial"/>
          <w:sz w:val="22"/>
          <w:szCs w:val="22"/>
          <w:lang w:val="en-GB"/>
        </w:rPr>
        <w:t xml:space="preserve">Griffith, F. L. 1889. </w:t>
      </w:r>
      <w:r w:rsidRPr="00882A04">
        <w:rPr>
          <w:rFonts w:ascii="Verdana" w:hAnsi="Verdana" w:cs="Arial"/>
          <w:i/>
          <w:sz w:val="22"/>
          <w:szCs w:val="22"/>
          <w:lang w:val="en-GB"/>
        </w:rPr>
        <w:t>Inscription of Siut and der Rifeh</w:t>
      </w:r>
      <w:r w:rsidRPr="00882A04">
        <w:rPr>
          <w:rFonts w:ascii="Verdana" w:hAnsi="Verdana" w:cs="Arial"/>
          <w:sz w:val="22"/>
          <w:szCs w:val="22"/>
          <w:lang w:val="en-GB"/>
        </w:rPr>
        <w:t>, The British Museum, Egypt Exploration Fund, Londres: Trubner</w:t>
      </w:r>
    </w:p>
    <w:p w:rsidR="00AC0B7F" w:rsidRPr="00882A04" w:rsidRDefault="00AC0B7F" w:rsidP="00AC0B7F">
      <w:pPr>
        <w:ind w:hanging="3"/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/>
        </w:rPr>
        <w:t xml:space="preserve">Hartwig, M. 2004. </w:t>
      </w:r>
      <w:r w:rsidRPr="00882A04">
        <w:rPr>
          <w:rFonts w:ascii="Verdana" w:hAnsi="Verdana" w:cs="Arial"/>
          <w:i/>
          <w:sz w:val="22"/>
          <w:szCs w:val="22"/>
          <w:lang w:val="en-US"/>
        </w:rPr>
        <w:t>Tomb Painting and Identity in Ancient Thebes, 1419-1372 BCE</w:t>
      </w:r>
      <w:r w:rsidRPr="00882A04">
        <w:rPr>
          <w:rFonts w:ascii="Verdana" w:hAnsi="Verdana" w:cs="Arial"/>
          <w:sz w:val="22"/>
          <w:szCs w:val="22"/>
          <w:lang w:val="en-US"/>
        </w:rPr>
        <w:t xml:space="preserve">.  Brepols and Fondation Égyptologique Reine Élisabeth: Bruselas. </w:t>
      </w:r>
    </w:p>
    <w:p w:rsidR="00AC0B7F" w:rsidRPr="00882A04" w:rsidRDefault="00AC0B7F" w:rsidP="00AC0B7F">
      <w:pPr>
        <w:ind w:hanging="3"/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/>
        </w:rPr>
        <w:t xml:space="preserve">Hartwig, Melinda K. ed. 2015. </w:t>
      </w:r>
      <w:r w:rsidRPr="00882A04">
        <w:rPr>
          <w:rFonts w:ascii="Verdana" w:hAnsi="Verdana" w:cs="Arial"/>
          <w:i/>
          <w:sz w:val="22"/>
          <w:szCs w:val="22"/>
          <w:lang w:val="en-US"/>
        </w:rPr>
        <w:t>A Companion to Ancient Egyptian Art</w:t>
      </w:r>
      <w:r w:rsidRPr="00882A04">
        <w:rPr>
          <w:rFonts w:ascii="Verdana" w:hAnsi="Verdana" w:cs="Arial"/>
          <w:sz w:val="22"/>
          <w:szCs w:val="22"/>
          <w:lang w:val="en-US"/>
        </w:rPr>
        <w:t xml:space="preserve">, Wiley-Blackwell: Chichester. </w:t>
      </w:r>
    </w:p>
    <w:p w:rsidR="00AC0B7F" w:rsidRPr="00882A04" w:rsidRDefault="00AC0B7F" w:rsidP="00AC0B7F">
      <w:pPr>
        <w:ind w:hanging="3"/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/>
        </w:rPr>
        <w:t xml:space="preserve">Hendrickx, S. y M. Eyckerman. 2012. “Visual representation and state development in Egypt”, </w:t>
      </w:r>
      <w:r w:rsidRPr="00882A04">
        <w:rPr>
          <w:rFonts w:ascii="Verdana" w:hAnsi="Verdana" w:cs="Arial"/>
          <w:i/>
          <w:sz w:val="22"/>
          <w:szCs w:val="22"/>
          <w:lang w:val="en-US"/>
        </w:rPr>
        <w:t>Archéo-Nil</w:t>
      </w:r>
      <w:r w:rsidRPr="00882A04">
        <w:rPr>
          <w:rFonts w:ascii="Verdana" w:hAnsi="Verdana" w:cs="Arial"/>
          <w:sz w:val="22"/>
          <w:szCs w:val="22"/>
          <w:lang w:val="en-US"/>
        </w:rPr>
        <w:t xml:space="preserve"> 22: 23-72. </w:t>
      </w:r>
    </w:p>
    <w:p w:rsidR="00AC0B7F" w:rsidRPr="00882A04" w:rsidRDefault="00AC0B7F" w:rsidP="00AC0B7F">
      <w:pPr>
        <w:ind w:left="709" w:hanging="709"/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/>
        </w:rPr>
        <w:t xml:space="preserve">Hoch, J., 1997. </w:t>
      </w:r>
      <w:hyperlink r:id="rId7" w:history="1">
        <w:r w:rsidRPr="00882A04">
          <w:rPr>
            <w:rFonts w:ascii="Verdana" w:hAnsi="Verdana" w:cs="Arial"/>
            <w:i/>
            <w:iCs/>
            <w:sz w:val="22"/>
            <w:szCs w:val="22"/>
            <w:lang w:val="en-US"/>
          </w:rPr>
          <w:t>Middle Egyptian Grammar</w:t>
        </w:r>
      </w:hyperlink>
      <w:r w:rsidRPr="00882A04">
        <w:rPr>
          <w:rFonts w:ascii="Verdana" w:hAnsi="Verdana" w:cs="Arial"/>
          <w:sz w:val="22"/>
          <w:szCs w:val="22"/>
          <w:lang w:val="en-US"/>
        </w:rPr>
        <w:t xml:space="preserve"> (Society for the Study of Egyptian Antiquities series vol.15), Mississauga, Canada: Benben Publications.</w:t>
      </w:r>
    </w:p>
    <w:p w:rsidR="00AC0B7F" w:rsidRPr="00882A04" w:rsidRDefault="00AC0B7F" w:rsidP="00AC0B7F">
      <w:pPr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/>
        </w:rPr>
        <w:t xml:space="preserve">Hodel-Hoenes, S. 2000. </w:t>
      </w:r>
      <w:r w:rsidRPr="00882A04">
        <w:rPr>
          <w:rFonts w:ascii="Verdana" w:hAnsi="Verdana" w:cs="Arial"/>
          <w:i/>
          <w:sz w:val="22"/>
          <w:szCs w:val="22"/>
          <w:lang w:val="en-US"/>
        </w:rPr>
        <w:t>Life and Death in Ancient Egypt. Scenes from Private Tombs in New Kingdom Thebes</w:t>
      </w:r>
      <w:r w:rsidRPr="00882A04">
        <w:rPr>
          <w:rFonts w:ascii="Verdana" w:hAnsi="Verdana" w:cs="Arial"/>
          <w:sz w:val="22"/>
          <w:szCs w:val="22"/>
          <w:lang w:val="en-US"/>
        </w:rPr>
        <w:t xml:space="preserve">. Cornell University Press: Ithaca y Londres. </w:t>
      </w:r>
    </w:p>
    <w:p w:rsidR="00AC0B7F" w:rsidRPr="00882A04" w:rsidRDefault="00AC0B7F" w:rsidP="00AC0B7F">
      <w:pPr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/>
        </w:rPr>
        <w:t xml:space="preserve">Ikram, S. 2015. “Interpreting Ancient Egyptian Material Culture”, en </w:t>
      </w:r>
      <w:r w:rsidRPr="00882A04">
        <w:rPr>
          <w:rFonts w:ascii="Verdana" w:hAnsi="Verdana" w:cs="Arial"/>
          <w:i/>
          <w:sz w:val="22"/>
          <w:szCs w:val="22"/>
          <w:lang w:val="en-US"/>
        </w:rPr>
        <w:t>A Companion to Ancient Egyptian Art</w:t>
      </w:r>
      <w:r w:rsidRPr="00882A04">
        <w:rPr>
          <w:rFonts w:ascii="Verdana" w:hAnsi="Verdana" w:cs="Arial"/>
          <w:sz w:val="22"/>
          <w:szCs w:val="22"/>
          <w:lang w:val="en-US"/>
        </w:rPr>
        <w:t>, Wiley-Blackwell: Chichester: 175-188.</w:t>
      </w:r>
    </w:p>
    <w:p w:rsidR="00AC0B7F" w:rsidRPr="00882A04" w:rsidRDefault="00AC0B7F" w:rsidP="00AC0B7F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de-DE"/>
        </w:rPr>
      </w:pPr>
      <w:r w:rsidRPr="00882A04">
        <w:rPr>
          <w:rFonts w:ascii="Verdana" w:hAnsi="Verdana" w:cs="Arial"/>
          <w:sz w:val="22"/>
          <w:szCs w:val="22"/>
          <w:lang w:val="de-DE"/>
        </w:rPr>
        <w:t xml:space="preserve">Jansen-Winkeln, K. “Bemerkungen zur Stele des Merer in Krakau,” </w:t>
      </w:r>
      <w:r w:rsidRPr="00882A04">
        <w:rPr>
          <w:rFonts w:ascii="Verdana" w:hAnsi="Verdana" w:cs="Arial"/>
          <w:i/>
          <w:iCs/>
          <w:sz w:val="22"/>
          <w:szCs w:val="22"/>
          <w:lang w:val="de-DE"/>
        </w:rPr>
        <w:t xml:space="preserve">JEA </w:t>
      </w:r>
      <w:r w:rsidRPr="00882A04">
        <w:rPr>
          <w:rFonts w:ascii="Verdana" w:hAnsi="Verdana" w:cs="Arial"/>
          <w:sz w:val="22"/>
          <w:szCs w:val="22"/>
          <w:lang w:val="de-DE"/>
        </w:rPr>
        <w:t>74 (1988), pp. 204–207.</w:t>
      </w:r>
    </w:p>
    <w:p w:rsidR="00AC0B7F" w:rsidRPr="00882A04" w:rsidRDefault="00AC0B7F" w:rsidP="00AC0B7F">
      <w:pPr>
        <w:ind w:hanging="3"/>
        <w:jc w:val="both"/>
        <w:rPr>
          <w:rFonts w:ascii="Verdana" w:hAnsi="Verdana" w:cs="Arial"/>
          <w:sz w:val="22"/>
          <w:szCs w:val="22"/>
        </w:rPr>
      </w:pPr>
      <w:r w:rsidRPr="00882A04">
        <w:rPr>
          <w:rFonts w:ascii="Verdana" w:hAnsi="Verdana" w:cs="Arial"/>
          <w:sz w:val="22"/>
          <w:szCs w:val="22"/>
        </w:rPr>
        <w:lastRenderedPageBreak/>
        <w:t xml:space="preserve">Kemp, B. 1992 [1989]. </w:t>
      </w:r>
      <w:r w:rsidRPr="00882A04">
        <w:rPr>
          <w:rFonts w:ascii="Verdana" w:hAnsi="Verdana" w:cs="Arial"/>
          <w:i/>
          <w:iCs/>
          <w:sz w:val="22"/>
          <w:szCs w:val="22"/>
        </w:rPr>
        <w:t>El Antiguo Egipto: Anatomía de una Civilización</w:t>
      </w:r>
      <w:r w:rsidRPr="00882A04">
        <w:rPr>
          <w:rFonts w:ascii="Verdana" w:hAnsi="Verdana" w:cs="Arial"/>
          <w:sz w:val="22"/>
          <w:szCs w:val="22"/>
        </w:rPr>
        <w:t>, Barcelona: Crítica.</w:t>
      </w:r>
    </w:p>
    <w:p w:rsidR="00AC0B7F" w:rsidRPr="00882A04" w:rsidRDefault="00AC0B7F" w:rsidP="00AC0B7F">
      <w:pPr>
        <w:ind w:left="706" w:hanging="709"/>
        <w:jc w:val="both"/>
        <w:rPr>
          <w:rFonts w:ascii="Verdana" w:hAnsi="Verdana" w:cs="Arial"/>
          <w:sz w:val="22"/>
          <w:szCs w:val="22"/>
        </w:rPr>
      </w:pPr>
      <w:r w:rsidRPr="00882A04">
        <w:rPr>
          <w:rFonts w:ascii="Verdana" w:hAnsi="Verdana" w:cs="Arial"/>
          <w:sz w:val="22"/>
          <w:szCs w:val="22"/>
          <w:lang w:eastAsia="es-ES"/>
        </w:rPr>
        <w:t xml:space="preserve">Kemp, B. J., 2006. </w:t>
      </w:r>
      <w:r w:rsidRPr="00882A04">
        <w:rPr>
          <w:rFonts w:ascii="Verdana" w:hAnsi="Verdana" w:cs="Arial"/>
          <w:i/>
          <w:sz w:val="22"/>
          <w:szCs w:val="22"/>
          <w:lang w:eastAsia="es-ES"/>
        </w:rPr>
        <w:t>100 jeroglíficos: introducción al mundo del antiguo Egipto</w:t>
      </w:r>
      <w:r w:rsidRPr="00882A04">
        <w:rPr>
          <w:rFonts w:ascii="Verdana" w:hAnsi="Verdana" w:cs="Arial"/>
          <w:sz w:val="22"/>
          <w:szCs w:val="22"/>
          <w:lang w:eastAsia="es-ES"/>
        </w:rPr>
        <w:t>, Barcelona: Crítica.</w:t>
      </w:r>
    </w:p>
    <w:p w:rsidR="00AC0B7F" w:rsidRPr="00882A04" w:rsidRDefault="00AC0B7F" w:rsidP="00AC0B7F">
      <w:pPr>
        <w:ind w:hanging="3"/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/>
        </w:rPr>
        <w:t xml:space="preserve">Kóthay, K. A. 2010. </w:t>
      </w:r>
      <w:r w:rsidRPr="00882A04">
        <w:rPr>
          <w:rFonts w:ascii="Verdana" w:hAnsi="Verdana" w:cs="Arial"/>
          <w:i/>
          <w:sz w:val="22"/>
          <w:szCs w:val="22"/>
          <w:lang w:val="en-US"/>
        </w:rPr>
        <w:t>Art and society: ancient and modern contexts of Egyptian art: proceedings of the International Conference held at the Museum of Fine Arts</w:t>
      </w:r>
      <w:r w:rsidRPr="00882A04">
        <w:rPr>
          <w:rFonts w:ascii="Verdana" w:hAnsi="Verdana" w:cs="Arial"/>
          <w:sz w:val="22"/>
          <w:szCs w:val="22"/>
          <w:lang w:val="en-US"/>
        </w:rPr>
        <w:t xml:space="preserve">, Budapest: Museum of Fine Arts. </w:t>
      </w:r>
    </w:p>
    <w:p w:rsidR="00AC0B7F" w:rsidRPr="00882A04" w:rsidRDefault="00AC0B7F" w:rsidP="00AC0B7F">
      <w:pPr>
        <w:ind w:hanging="3"/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/>
        </w:rPr>
        <w:t xml:space="preserve">Kozloff, Arielle. 1992. “Tomb Decoration: Paintings and Relief Sculpture.” In Egypt’s Dazzling Sun: Amenhotep III and His World, edited by Arielle Kozloff and Betsy Morrell Bryan, 261-283. Cleveland: Cleveland Museum of Art. </w:t>
      </w:r>
    </w:p>
    <w:p w:rsidR="00AC0B7F" w:rsidRPr="00882A04" w:rsidRDefault="00AC0B7F" w:rsidP="00AC0B7F">
      <w:pPr>
        <w:ind w:left="709" w:hanging="709"/>
        <w:jc w:val="both"/>
        <w:rPr>
          <w:rFonts w:ascii="Verdana" w:hAnsi="Verdana" w:cs="Arial"/>
          <w:sz w:val="22"/>
          <w:szCs w:val="22"/>
          <w:highlight w:val="cyan"/>
          <w:lang w:val="en-US"/>
        </w:rPr>
      </w:pPr>
      <w:r w:rsidRPr="00882A04">
        <w:rPr>
          <w:rFonts w:ascii="Verdana" w:hAnsi="Verdana" w:cs="Arial"/>
          <w:color w:val="000000"/>
          <w:sz w:val="22"/>
          <w:szCs w:val="22"/>
          <w:lang w:val="en-US"/>
        </w:rPr>
        <w:t xml:space="preserve">Lesko, L., 1982. </w:t>
      </w:r>
      <w:r w:rsidRPr="00882A04">
        <w:rPr>
          <w:rFonts w:ascii="Verdana" w:hAnsi="Verdana" w:cs="Arial"/>
          <w:i/>
          <w:color w:val="000000"/>
          <w:sz w:val="22"/>
          <w:szCs w:val="22"/>
          <w:lang w:val="en-US"/>
        </w:rPr>
        <w:t xml:space="preserve">Dictionary of </w:t>
      </w:r>
      <w:r w:rsidRPr="00882A04">
        <w:rPr>
          <w:rFonts w:ascii="Verdana" w:hAnsi="Verdana" w:cs="Arial"/>
          <w:bCs/>
          <w:i/>
          <w:color w:val="000000"/>
          <w:sz w:val="22"/>
          <w:szCs w:val="22"/>
          <w:lang w:val="en-US"/>
        </w:rPr>
        <w:t>Late Egyptian</w:t>
      </w:r>
      <w:r w:rsidRPr="00882A04">
        <w:rPr>
          <w:rFonts w:ascii="Verdana" w:hAnsi="Verdana" w:cs="Arial"/>
          <w:color w:val="000000"/>
          <w:sz w:val="22"/>
          <w:szCs w:val="22"/>
          <w:lang w:val="en-US"/>
        </w:rPr>
        <w:t>. Providence: B.C. Scribe Publications.</w:t>
      </w:r>
    </w:p>
    <w:p w:rsidR="00AC0B7F" w:rsidRPr="00882A04" w:rsidRDefault="00AC0B7F" w:rsidP="00AC0B7F">
      <w:pPr>
        <w:jc w:val="both"/>
        <w:rPr>
          <w:rFonts w:ascii="Verdana" w:hAnsi="Verdana" w:cs="Arial"/>
          <w:sz w:val="22"/>
          <w:szCs w:val="22"/>
          <w:lang w:val="fr-FR"/>
        </w:rPr>
      </w:pPr>
      <w:r w:rsidRPr="00882A04">
        <w:rPr>
          <w:rFonts w:ascii="Verdana" w:hAnsi="Verdana" w:cs="Arial"/>
          <w:sz w:val="22"/>
          <w:szCs w:val="22"/>
          <w:lang w:val="en-US"/>
        </w:rPr>
        <w:t xml:space="preserve">Leterme, K., M. Hartwig, y P. Vandenabeele. 2009. “Development of a new visual analysis protocol for the methodological examination of Theban tomb paintings.” </w:t>
      </w:r>
      <w:r w:rsidRPr="00882A04">
        <w:rPr>
          <w:rFonts w:ascii="Verdana" w:hAnsi="Verdana" w:cs="Arial"/>
          <w:i/>
          <w:sz w:val="22"/>
          <w:szCs w:val="22"/>
          <w:lang w:val="fr-FR"/>
        </w:rPr>
        <w:t>Göttinger Miszellen</w:t>
      </w:r>
      <w:r w:rsidRPr="00882A04">
        <w:rPr>
          <w:rFonts w:ascii="Verdana" w:hAnsi="Verdana" w:cs="Arial"/>
          <w:sz w:val="22"/>
          <w:szCs w:val="22"/>
          <w:lang w:val="fr-FR"/>
        </w:rPr>
        <w:t xml:space="preserve"> 222:41-45. </w:t>
      </w:r>
    </w:p>
    <w:p w:rsidR="00AC0B7F" w:rsidRPr="00882A04" w:rsidRDefault="00AC0B7F" w:rsidP="00AC0B7F">
      <w:pPr>
        <w:tabs>
          <w:tab w:val="left" w:pos="6300"/>
        </w:tabs>
        <w:ind w:hanging="709"/>
        <w:rPr>
          <w:rFonts w:ascii="Verdana" w:hAnsi="Verdana" w:cs="Arial"/>
          <w:sz w:val="22"/>
          <w:szCs w:val="22"/>
          <w:lang w:val="en-GB"/>
        </w:rPr>
      </w:pPr>
      <w:r w:rsidRPr="00882A04">
        <w:rPr>
          <w:rFonts w:ascii="Verdana" w:hAnsi="Verdana" w:cs="Arial"/>
          <w:sz w:val="22"/>
          <w:szCs w:val="22"/>
          <w:lang w:val="en-GB"/>
        </w:rPr>
        <w:tab/>
        <w:t xml:space="preserve">Lichtheim, M. 1973. </w:t>
      </w:r>
      <w:r w:rsidRPr="00882A04">
        <w:rPr>
          <w:rFonts w:ascii="Verdana" w:hAnsi="Verdana" w:cs="Arial"/>
          <w:bCs/>
          <w:i/>
          <w:sz w:val="22"/>
          <w:szCs w:val="22"/>
          <w:lang w:val="en-GB"/>
        </w:rPr>
        <w:t>Ancient Egyptian literature</w:t>
      </w:r>
      <w:r w:rsidRPr="00882A04">
        <w:rPr>
          <w:rFonts w:ascii="Verdana" w:hAnsi="Verdana" w:cs="Arial"/>
          <w:i/>
          <w:sz w:val="22"/>
          <w:szCs w:val="22"/>
          <w:lang w:val="en-GB"/>
        </w:rPr>
        <w:t>: a book of readings</w:t>
      </w:r>
      <w:r w:rsidRPr="00882A04">
        <w:rPr>
          <w:rFonts w:ascii="Verdana" w:hAnsi="Verdana" w:cs="Arial"/>
          <w:sz w:val="22"/>
          <w:szCs w:val="22"/>
          <w:lang w:val="en-GB"/>
        </w:rPr>
        <w:t xml:space="preserve">. Vol.1. The Old and Middle Kingdoms. Berkeley/Londres. </w:t>
      </w:r>
    </w:p>
    <w:p w:rsidR="00AC0B7F" w:rsidRPr="00882A04" w:rsidRDefault="00AC0B7F" w:rsidP="00AC0B7F">
      <w:pPr>
        <w:jc w:val="both"/>
        <w:rPr>
          <w:rFonts w:ascii="Verdana" w:hAnsi="Verdana" w:cs="Arial"/>
          <w:sz w:val="22"/>
          <w:szCs w:val="22"/>
          <w:lang w:val="de-DE"/>
        </w:rPr>
      </w:pPr>
      <w:r w:rsidRPr="00882A04">
        <w:rPr>
          <w:rFonts w:ascii="Verdana" w:hAnsi="Verdana" w:cs="Arial"/>
          <w:sz w:val="22"/>
          <w:szCs w:val="22"/>
          <w:lang w:val="en-GB"/>
        </w:rPr>
        <w:t xml:space="preserve">Lichtheim, M. 1988. </w:t>
      </w:r>
      <w:r w:rsidRPr="00882A04">
        <w:rPr>
          <w:rFonts w:ascii="Verdana" w:hAnsi="Verdana" w:cs="Arial"/>
          <w:bCs/>
          <w:i/>
          <w:sz w:val="22"/>
          <w:szCs w:val="22"/>
          <w:lang w:val="de-DE"/>
        </w:rPr>
        <w:t>Ancient Egyptian autobiographies</w:t>
      </w:r>
      <w:r w:rsidRPr="00882A04">
        <w:rPr>
          <w:rFonts w:ascii="Verdana" w:hAnsi="Verdana" w:cs="Arial"/>
          <w:i/>
          <w:sz w:val="22"/>
          <w:szCs w:val="22"/>
          <w:lang w:val="de-DE"/>
        </w:rPr>
        <w:t xml:space="preserve"> chiefly of the Middle Kingdom</w:t>
      </w:r>
      <w:r w:rsidRPr="00882A04">
        <w:rPr>
          <w:rFonts w:ascii="Verdana" w:hAnsi="Verdana" w:cs="Arial"/>
          <w:sz w:val="22"/>
          <w:szCs w:val="22"/>
          <w:lang w:val="de-DE"/>
        </w:rPr>
        <w:t>. Friburgo: Biblical Intitute.</w:t>
      </w:r>
      <w:r w:rsidRPr="00882A04">
        <w:rPr>
          <w:rFonts w:ascii="Verdana" w:hAnsi="Verdana" w:cs="Arial"/>
          <w:sz w:val="22"/>
          <w:szCs w:val="22"/>
          <w:lang w:val="en-US"/>
        </w:rPr>
        <w:t>London: Oxford University Press.</w:t>
      </w:r>
    </w:p>
    <w:p w:rsidR="00AC0B7F" w:rsidRPr="00882A04" w:rsidRDefault="00AC0B7F" w:rsidP="00AC0B7F">
      <w:pPr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/>
        </w:rPr>
        <w:t>Loprieno A. 1997. “</w:t>
      </w:r>
      <w:r w:rsidRPr="00882A04">
        <w:rPr>
          <w:rFonts w:ascii="Verdana" w:hAnsi="Verdana" w:cs="Arial"/>
          <w:sz w:val="22"/>
          <w:szCs w:val="22"/>
          <w:lang w:val="en-GB"/>
        </w:rPr>
        <w:t>Loyalty</w:t>
      </w:r>
      <w:r w:rsidRPr="00882A04">
        <w:rPr>
          <w:rFonts w:ascii="Verdana" w:hAnsi="Verdana" w:cs="Arial"/>
          <w:sz w:val="22"/>
          <w:szCs w:val="22"/>
          <w:lang w:val="en-US"/>
        </w:rPr>
        <w:t xml:space="preserve"> to the King, to God, to oneself,” en Manuelian, P.  (ed.), </w:t>
      </w:r>
      <w:r w:rsidRPr="00882A04">
        <w:rPr>
          <w:rFonts w:ascii="Verdana" w:hAnsi="Verdana" w:cs="Arial"/>
          <w:i/>
          <w:iCs/>
          <w:sz w:val="22"/>
          <w:szCs w:val="22"/>
          <w:lang w:val="en-US"/>
        </w:rPr>
        <w:t>Studies in Honor of William Kelly Simpson.</w:t>
      </w:r>
      <w:r w:rsidRPr="00882A04">
        <w:rPr>
          <w:rFonts w:ascii="Verdana" w:hAnsi="Verdana" w:cs="Arial"/>
          <w:sz w:val="22"/>
          <w:szCs w:val="22"/>
          <w:lang w:val="en-US"/>
        </w:rPr>
        <w:t xml:space="preserve"> Boston: Museum of Fine Arts, pp. 533–552.</w:t>
      </w:r>
    </w:p>
    <w:p w:rsidR="00AC0B7F" w:rsidRPr="00882A04" w:rsidRDefault="00AC0B7F" w:rsidP="00AC0B7F">
      <w:pPr>
        <w:jc w:val="both"/>
        <w:rPr>
          <w:rFonts w:ascii="Verdana" w:hAnsi="Verdana" w:cs="Arial"/>
          <w:sz w:val="22"/>
          <w:szCs w:val="22"/>
          <w:lang w:val="de-DE"/>
        </w:rPr>
      </w:pPr>
      <w:r w:rsidRPr="00882A04">
        <w:rPr>
          <w:rFonts w:ascii="Verdana" w:hAnsi="Verdana" w:cs="Arial"/>
          <w:sz w:val="22"/>
          <w:szCs w:val="22"/>
          <w:lang w:val="de-DE"/>
        </w:rPr>
        <w:t xml:space="preserve">Loprieno, A. 1988. </w:t>
      </w:r>
      <w:r w:rsidRPr="00882A04">
        <w:rPr>
          <w:rFonts w:ascii="Verdana" w:hAnsi="Verdana" w:cs="Arial"/>
          <w:i/>
          <w:iCs/>
          <w:sz w:val="22"/>
          <w:szCs w:val="22"/>
          <w:lang w:val="de-DE"/>
        </w:rPr>
        <w:t>Topos und Mimesis: Zum Ausländer in der ägyptischen Literatur</w:t>
      </w:r>
      <w:r w:rsidRPr="00882A04">
        <w:rPr>
          <w:rFonts w:ascii="Verdana" w:hAnsi="Verdana" w:cs="Arial"/>
          <w:sz w:val="22"/>
          <w:szCs w:val="22"/>
          <w:lang w:val="de-DE"/>
        </w:rPr>
        <w:t>, Wiesbaden: Harrasowitz.</w:t>
      </w:r>
    </w:p>
    <w:p w:rsidR="00AC0B7F" w:rsidRPr="00882A04" w:rsidRDefault="00AC0B7F" w:rsidP="00AC0B7F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882A04">
        <w:rPr>
          <w:rFonts w:ascii="Verdana" w:hAnsi="Verdana" w:cs="Arial"/>
          <w:sz w:val="22"/>
          <w:szCs w:val="22"/>
          <w:lang w:val="en-GB"/>
        </w:rPr>
        <w:t xml:space="preserve">Loprieno, A. 1996. “Defining Egyptian Literature: Ancient Texts and Modern Literary Theory”, en Loprieno, Antonio (ed.), </w:t>
      </w:r>
      <w:r w:rsidRPr="00882A04">
        <w:rPr>
          <w:rFonts w:ascii="Verdana" w:hAnsi="Verdana" w:cs="Arial"/>
          <w:i/>
          <w:iCs/>
          <w:sz w:val="22"/>
          <w:szCs w:val="22"/>
          <w:lang w:val="en-GB"/>
        </w:rPr>
        <w:t>Ancient Egyptian Literature: History and Forms</w:t>
      </w:r>
      <w:r w:rsidRPr="00882A04">
        <w:rPr>
          <w:rFonts w:ascii="Verdana" w:hAnsi="Verdana" w:cs="Arial"/>
          <w:sz w:val="22"/>
          <w:szCs w:val="22"/>
          <w:lang w:val="en-GB"/>
        </w:rPr>
        <w:t>, Leiden: Brill, pp. 39-58.</w:t>
      </w:r>
    </w:p>
    <w:p w:rsidR="00AC0B7F" w:rsidRPr="00882A04" w:rsidRDefault="00AC0B7F" w:rsidP="00AC0B7F">
      <w:pPr>
        <w:autoSpaceDE w:val="0"/>
        <w:autoSpaceDN w:val="0"/>
        <w:adjustRightInd w:val="0"/>
        <w:ind w:left="709" w:hanging="709"/>
        <w:jc w:val="both"/>
        <w:rPr>
          <w:rFonts w:ascii="Verdana" w:hAnsi="Verdana" w:cs="Arial"/>
          <w:sz w:val="22"/>
          <w:szCs w:val="22"/>
          <w:lang w:val="en-GB" w:eastAsia="es-ES"/>
        </w:rPr>
      </w:pPr>
      <w:r w:rsidRPr="00882A04">
        <w:rPr>
          <w:rFonts w:ascii="Verdana" w:hAnsi="Verdana" w:cs="Arial"/>
          <w:sz w:val="22"/>
          <w:szCs w:val="22"/>
          <w:lang w:val="en-US" w:eastAsia="es-ES"/>
        </w:rPr>
        <w:t xml:space="preserve">Loprieno, A., 1995.  </w:t>
      </w:r>
      <w:r w:rsidRPr="00882A04">
        <w:rPr>
          <w:rFonts w:ascii="Verdana" w:hAnsi="Verdana" w:cs="Arial"/>
          <w:i/>
          <w:sz w:val="22"/>
          <w:szCs w:val="22"/>
          <w:lang w:val="en-GB" w:eastAsia="es-ES"/>
        </w:rPr>
        <w:t>Ancient Egyptian: a linguistic introduction</w:t>
      </w:r>
      <w:r w:rsidRPr="00882A04">
        <w:rPr>
          <w:rFonts w:ascii="Verdana" w:hAnsi="Verdana" w:cs="Arial"/>
          <w:sz w:val="22"/>
          <w:szCs w:val="22"/>
          <w:lang w:val="en-GB" w:eastAsia="es-ES"/>
        </w:rPr>
        <w:t>, Cambridge: Cambridge University Press.</w:t>
      </w:r>
    </w:p>
    <w:p w:rsidR="00AC0B7F" w:rsidRPr="00882A04" w:rsidRDefault="00AC0B7F" w:rsidP="00AC0B7F">
      <w:pPr>
        <w:jc w:val="both"/>
        <w:rPr>
          <w:rFonts w:ascii="Verdana" w:hAnsi="Verdana" w:cs="Arial"/>
          <w:sz w:val="22"/>
          <w:szCs w:val="22"/>
        </w:rPr>
      </w:pPr>
      <w:r w:rsidRPr="00882A04">
        <w:rPr>
          <w:rFonts w:ascii="Verdana" w:hAnsi="Verdana" w:cs="Arial"/>
          <w:sz w:val="22"/>
          <w:szCs w:val="22"/>
        </w:rPr>
        <w:t xml:space="preserve">Lukács, G.  </w:t>
      </w:r>
      <w:r w:rsidRPr="00882A04">
        <w:rPr>
          <w:rFonts w:ascii="Verdana" w:hAnsi="Verdana" w:cs="Arial"/>
          <w:i/>
          <w:iCs/>
          <w:sz w:val="22"/>
          <w:szCs w:val="22"/>
        </w:rPr>
        <w:t>Ética, Estética y Ontología</w:t>
      </w:r>
      <w:r w:rsidRPr="00882A04">
        <w:rPr>
          <w:rFonts w:ascii="Verdana" w:hAnsi="Verdana" w:cs="Arial"/>
          <w:sz w:val="22"/>
          <w:szCs w:val="22"/>
        </w:rPr>
        <w:t xml:space="preserve">, Buenos Aires: Colihue. </w:t>
      </w:r>
    </w:p>
    <w:p w:rsidR="00AC0B7F" w:rsidRPr="00882A04" w:rsidRDefault="00AC0B7F" w:rsidP="00AC0B7F">
      <w:pPr>
        <w:autoSpaceDE w:val="0"/>
        <w:autoSpaceDN w:val="0"/>
        <w:adjustRightInd w:val="0"/>
        <w:ind w:left="709" w:hanging="709"/>
        <w:jc w:val="both"/>
        <w:rPr>
          <w:rFonts w:ascii="Verdana" w:hAnsi="Verdana" w:cs="Arial"/>
          <w:sz w:val="22"/>
          <w:szCs w:val="22"/>
          <w:lang w:val="fr-FR" w:eastAsia="es-ES"/>
        </w:rPr>
      </w:pPr>
      <w:r w:rsidRPr="00882A04">
        <w:rPr>
          <w:rFonts w:ascii="Verdana" w:hAnsi="Verdana" w:cs="Arial"/>
          <w:sz w:val="22"/>
          <w:szCs w:val="22"/>
          <w:lang w:val="fr-FR" w:eastAsia="es-ES"/>
        </w:rPr>
        <w:t xml:space="preserve">Malaise, M.; Winand, J., 1999. </w:t>
      </w:r>
      <w:r w:rsidRPr="00882A04">
        <w:rPr>
          <w:rFonts w:ascii="Verdana" w:hAnsi="Verdana" w:cs="Arial"/>
          <w:i/>
          <w:sz w:val="22"/>
          <w:szCs w:val="22"/>
          <w:lang w:val="fr-FR" w:eastAsia="es-ES"/>
        </w:rPr>
        <w:t>Grammaire raisonnée de l’égyptien classique</w:t>
      </w:r>
      <w:r w:rsidRPr="00882A04">
        <w:rPr>
          <w:rFonts w:ascii="Verdana" w:hAnsi="Verdana" w:cs="Arial"/>
          <w:sz w:val="22"/>
          <w:szCs w:val="22"/>
          <w:lang w:val="fr-FR" w:eastAsia="es-ES"/>
        </w:rPr>
        <w:t>, Liege: Université, Faculté de Philosophie et Lettres.</w:t>
      </w:r>
    </w:p>
    <w:p w:rsidR="00AC0B7F" w:rsidRPr="00882A04" w:rsidRDefault="00AC0B7F" w:rsidP="00AC0B7F">
      <w:pPr>
        <w:tabs>
          <w:tab w:val="left" w:pos="6300"/>
        </w:tabs>
        <w:ind w:hanging="709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fr-FR"/>
        </w:rPr>
        <w:tab/>
      </w:r>
      <w:r w:rsidRPr="00882A04">
        <w:rPr>
          <w:rFonts w:ascii="Verdana" w:hAnsi="Verdana" w:cs="Arial"/>
          <w:sz w:val="22"/>
          <w:szCs w:val="22"/>
          <w:lang w:val="en-US"/>
        </w:rPr>
        <w:t xml:space="preserve">Martin, G.T. 2005. </w:t>
      </w:r>
      <w:r w:rsidRPr="00882A04">
        <w:rPr>
          <w:rFonts w:ascii="Verdana" w:hAnsi="Verdana" w:cs="Arial"/>
          <w:i/>
          <w:sz w:val="22"/>
          <w:szCs w:val="22"/>
          <w:lang w:val="en-US"/>
        </w:rPr>
        <w:t>Stelae from Egypt and Nubia in the Fitzwilliam Museum</w:t>
      </w:r>
      <w:r w:rsidRPr="00882A04">
        <w:rPr>
          <w:rFonts w:ascii="Verdana" w:hAnsi="Verdana" w:cs="Arial"/>
          <w:sz w:val="22"/>
          <w:szCs w:val="22"/>
          <w:lang w:val="en-US"/>
        </w:rPr>
        <w:t>.Cambridge: Cambridge University Press.</w:t>
      </w:r>
    </w:p>
    <w:p w:rsidR="00AC0B7F" w:rsidRPr="00882A04" w:rsidRDefault="00AC0B7F" w:rsidP="00AC0B7F">
      <w:pPr>
        <w:ind w:left="706" w:hanging="709"/>
        <w:jc w:val="both"/>
        <w:rPr>
          <w:rFonts w:ascii="Verdana" w:hAnsi="Verdana" w:cs="Arial"/>
          <w:sz w:val="22"/>
          <w:szCs w:val="22"/>
          <w:lang w:val="fr-FR"/>
        </w:rPr>
      </w:pPr>
      <w:r w:rsidRPr="00882A04">
        <w:rPr>
          <w:rFonts w:ascii="Verdana" w:hAnsi="Verdana" w:cs="Arial"/>
          <w:sz w:val="22"/>
          <w:szCs w:val="22"/>
          <w:lang w:val="fr-FR"/>
        </w:rPr>
        <w:t xml:space="preserve">Menu, B., 1989. </w:t>
      </w:r>
      <w:r w:rsidRPr="00882A04">
        <w:rPr>
          <w:rFonts w:ascii="Verdana" w:hAnsi="Verdana" w:cs="Arial"/>
          <w:i/>
          <w:sz w:val="22"/>
          <w:szCs w:val="22"/>
          <w:lang w:val="fr-FR"/>
        </w:rPr>
        <w:t>Exercices corrigés de la petite grammaire de l’égyptien hiéroglyphique à l’usage des débutants</w:t>
      </w:r>
      <w:r w:rsidRPr="00882A04">
        <w:rPr>
          <w:rFonts w:ascii="Verdana" w:hAnsi="Verdana" w:cs="Arial"/>
          <w:sz w:val="22"/>
          <w:szCs w:val="22"/>
          <w:lang w:val="fr-FR"/>
        </w:rPr>
        <w:t>. París: Geuthner.</w:t>
      </w:r>
    </w:p>
    <w:p w:rsidR="00AC0B7F" w:rsidRPr="00882A04" w:rsidRDefault="00AC0B7F" w:rsidP="00AC0B7F">
      <w:pPr>
        <w:ind w:left="706" w:hanging="709"/>
        <w:jc w:val="both"/>
        <w:rPr>
          <w:rFonts w:ascii="Verdana" w:hAnsi="Verdana" w:cs="Arial"/>
          <w:sz w:val="22"/>
          <w:szCs w:val="22"/>
          <w:lang w:val="fr-FR"/>
        </w:rPr>
      </w:pPr>
      <w:r w:rsidRPr="00882A04">
        <w:rPr>
          <w:rFonts w:ascii="Verdana" w:hAnsi="Verdana" w:cs="Arial"/>
          <w:sz w:val="22"/>
          <w:szCs w:val="22"/>
          <w:lang w:val="fr-FR"/>
        </w:rPr>
        <w:t xml:space="preserve">Menu, B., 1989. </w:t>
      </w:r>
      <w:r w:rsidRPr="00882A04">
        <w:rPr>
          <w:rFonts w:ascii="Verdana" w:hAnsi="Verdana" w:cs="Arial"/>
          <w:i/>
          <w:sz w:val="22"/>
          <w:szCs w:val="22"/>
          <w:lang w:val="fr-FR"/>
        </w:rPr>
        <w:t>Petit lexique de l’égyptien hiéroglyphique à l’usage des débutants</w:t>
      </w:r>
      <w:r w:rsidRPr="00882A04">
        <w:rPr>
          <w:rFonts w:ascii="Verdana" w:hAnsi="Verdana" w:cs="Arial"/>
          <w:sz w:val="22"/>
          <w:szCs w:val="22"/>
          <w:lang w:val="fr-FR"/>
        </w:rPr>
        <w:t>. París: Geuthner.</w:t>
      </w:r>
    </w:p>
    <w:p w:rsidR="00AC0B7F" w:rsidRPr="00882A04" w:rsidRDefault="00AC0B7F" w:rsidP="00AC0B7F">
      <w:pPr>
        <w:ind w:left="706" w:hanging="709"/>
        <w:jc w:val="both"/>
        <w:rPr>
          <w:rFonts w:ascii="Verdana" w:hAnsi="Verdana" w:cs="Arial"/>
          <w:sz w:val="22"/>
          <w:szCs w:val="22"/>
        </w:rPr>
      </w:pPr>
      <w:r w:rsidRPr="00882A04">
        <w:rPr>
          <w:rFonts w:ascii="Verdana" w:hAnsi="Verdana" w:cs="Arial"/>
          <w:sz w:val="22"/>
          <w:szCs w:val="22"/>
          <w:lang w:val="fr-FR"/>
        </w:rPr>
        <w:t xml:space="preserve">Menu, B., 1989. </w:t>
      </w:r>
      <w:r w:rsidRPr="00882A04">
        <w:rPr>
          <w:rFonts w:ascii="Verdana" w:hAnsi="Verdana" w:cs="Arial"/>
          <w:i/>
          <w:sz w:val="22"/>
          <w:szCs w:val="22"/>
          <w:lang w:val="fr-FR"/>
        </w:rPr>
        <w:t>Petite grammaire de l’égyptien hiéroglyphique à l’usage des débutants</w:t>
      </w:r>
      <w:r w:rsidRPr="00882A04">
        <w:rPr>
          <w:rFonts w:ascii="Verdana" w:hAnsi="Verdana" w:cs="Arial"/>
          <w:sz w:val="22"/>
          <w:szCs w:val="22"/>
          <w:lang w:val="fr-FR"/>
        </w:rPr>
        <w:t xml:space="preserve">. </w:t>
      </w:r>
      <w:r w:rsidRPr="00882A04">
        <w:rPr>
          <w:rFonts w:ascii="Verdana" w:hAnsi="Verdana" w:cs="Arial"/>
          <w:sz w:val="22"/>
          <w:szCs w:val="22"/>
        </w:rPr>
        <w:t>París: Geuthner.</w:t>
      </w:r>
    </w:p>
    <w:p w:rsidR="00AC0B7F" w:rsidRPr="00882A04" w:rsidRDefault="00AC0B7F" w:rsidP="00AC0B7F">
      <w:pPr>
        <w:ind w:left="709" w:hanging="709"/>
        <w:jc w:val="both"/>
        <w:rPr>
          <w:rFonts w:ascii="Verdana" w:hAnsi="Verdana" w:cs="Arial"/>
          <w:sz w:val="22"/>
          <w:szCs w:val="22"/>
        </w:rPr>
      </w:pPr>
      <w:r w:rsidRPr="00882A04">
        <w:rPr>
          <w:rFonts w:ascii="Verdana" w:hAnsi="Verdana" w:cs="Arial"/>
          <w:sz w:val="22"/>
          <w:szCs w:val="22"/>
        </w:rPr>
        <w:t xml:space="preserve">Moreno García, J.C. 2004. </w:t>
      </w:r>
      <w:r w:rsidRPr="00882A04">
        <w:rPr>
          <w:rFonts w:ascii="Verdana" w:hAnsi="Verdana" w:cs="Arial"/>
          <w:i/>
          <w:iCs/>
          <w:sz w:val="22"/>
          <w:szCs w:val="22"/>
        </w:rPr>
        <w:t>Egipto en el Imperio Antiguo</w:t>
      </w:r>
      <w:r w:rsidRPr="00882A04">
        <w:rPr>
          <w:rFonts w:ascii="Verdana" w:hAnsi="Verdana" w:cs="Arial"/>
          <w:sz w:val="22"/>
          <w:szCs w:val="22"/>
        </w:rPr>
        <w:t>, Barcelona: Bellaterra.</w:t>
      </w:r>
    </w:p>
    <w:p w:rsidR="00AC0B7F" w:rsidRPr="00882A04" w:rsidRDefault="00AC0B7F" w:rsidP="00AC0B7F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882A04">
        <w:rPr>
          <w:rFonts w:ascii="Verdana" w:hAnsi="Verdana" w:cs="Arial"/>
          <w:sz w:val="22"/>
          <w:szCs w:val="22"/>
        </w:rPr>
        <w:t xml:space="preserve">Moreno García, J.C. 2009. El Primer Período Intermedio. En J.M. Parra Ortiz, </w:t>
      </w:r>
      <w:r w:rsidRPr="00882A04">
        <w:rPr>
          <w:rFonts w:ascii="Verdana" w:hAnsi="Verdana" w:cs="Arial"/>
          <w:i/>
          <w:sz w:val="22"/>
          <w:szCs w:val="22"/>
        </w:rPr>
        <w:t>El Antiguo Egipto</w:t>
      </w:r>
      <w:r w:rsidRPr="00882A04">
        <w:rPr>
          <w:rFonts w:ascii="Verdana" w:hAnsi="Verdana" w:cs="Arial"/>
          <w:sz w:val="22"/>
          <w:szCs w:val="22"/>
        </w:rPr>
        <w:t xml:space="preserve">. </w:t>
      </w:r>
      <w:r w:rsidRPr="00882A04">
        <w:rPr>
          <w:rFonts w:ascii="Verdana" w:hAnsi="Verdana" w:cs="Arial"/>
          <w:sz w:val="22"/>
          <w:szCs w:val="22"/>
          <w:lang w:val="en-US"/>
        </w:rPr>
        <w:t>Madrid: Marcial Pons: 181-20</w:t>
      </w:r>
      <w:r w:rsidRPr="00882A04">
        <w:rPr>
          <w:rFonts w:ascii="Verdana" w:hAnsi="Verdana" w:cs="Arial"/>
          <w:sz w:val="22"/>
          <w:szCs w:val="22"/>
          <w:lang w:val="en-GB"/>
        </w:rPr>
        <w:t>8.</w:t>
      </w:r>
    </w:p>
    <w:p w:rsidR="00AC0B7F" w:rsidRPr="00882A04" w:rsidRDefault="00AC0B7F" w:rsidP="005D2568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882A04">
        <w:rPr>
          <w:rFonts w:ascii="Verdana" w:hAnsi="Verdana" w:cs="Arial"/>
          <w:sz w:val="22"/>
          <w:szCs w:val="22"/>
          <w:lang w:val="en-GB"/>
        </w:rPr>
        <w:t xml:space="preserve">Morenz, L. 2003. </w:t>
      </w:r>
      <w:r w:rsidRPr="00882A04">
        <w:rPr>
          <w:rFonts w:ascii="Verdana" w:hAnsi="Verdana" w:cs="Arial"/>
          <w:sz w:val="22"/>
          <w:szCs w:val="22"/>
          <w:lang w:val="en-US"/>
        </w:rPr>
        <w:t>“Literature as a construction of the past in the Middle Kingdom</w:t>
      </w:r>
      <w:r w:rsidRPr="00882A04">
        <w:rPr>
          <w:rFonts w:ascii="Verdana" w:hAnsi="Verdana" w:cs="Arial"/>
          <w:sz w:val="22"/>
          <w:szCs w:val="22"/>
          <w:lang w:val="en-GB"/>
        </w:rPr>
        <w:t>”</w:t>
      </w:r>
      <w:r w:rsidRPr="00882A04">
        <w:rPr>
          <w:rFonts w:ascii="Verdana" w:hAnsi="Verdana" w:cs="Arial"/>
          <w:sz w:val="22"/>
          <w:szCs w:val="22"/>
          <w:lang w:val="en-US"/>
        </w:rPr>
        <w:t xml:space="preserve">, en Tait, John, </w:t>
      </w:r>
      <w:r w:rsidRPr="00882A04">
        <w:rPr>
          <w:rFonts w:ascii="Verdana" w:hAnsi="Verdana" w:cs="Arial"/>
          <w:i/>
          <w:iCs/>
          <w:sz w:val="22"/>
          <w:szCs w:val="22"/>
          <w:lang w:val="en-US"/>
        </w:rPr>
        <w:t>Never Had the Like Ocurred: Egypt’s view of its past</w:t>
      </w:r>
      <w:r w:rsidRPr="00882A04">
        <w:rPr>
          <w:rFonts w:ascii="Verdana" w:hAnsi="Verdana" w:cs="Arial"/>
          <w:sz w:val="22"/>
          <w:szCs w:val="22"/>
          <w:lang w:val="en-US"/>
        </w:rPr>
        <w:t>, Londres: University College London</w:t>
      </w:r>
    </w:p>
    <w:p w:rsidR="00AC0B7F" w:rsidRPr="00882A04" w:rsidRDefault="00AC0B7F" w:rsidP="005D2568">
      <w:pPr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/>
        </w:rPr>
        <w:t xml:space="preserve">Morkot, R. 2003. “Archaism and Innovation in Art from the New Kingdom to the Twenty-Sixth Dynasty”, en J. Tait, </w:t>
      </w:r>
      <w:r w:rsidRPr="00882A04">
        <w:rPr>
          <w:rFonts w:ascii="Verdana" w:hAnsi="Verdana" w:cs="Arial"/>
          <w:i/>
          <w:sz w:val="22"/>
          <w:szCs w:val="22"/>
          <w:lang w:val="en-US"/>
        </w:rPr>
        <w:t>‘Never Had the Like Occurred’: Egypt’s View of Its Past</w:t>
      </w:r>
      <w:r w:rsidRPr="00882A04">
        <w:rPr>
          <w:rFonts w:ascii="Verdana" w:hAnsi="Verdana" w:cs="Arial"/>
          <w:sz w:val="22"/>
          <w:szCs w:val="22"/>
          <w:lang w:val="en-US"/>
        </w:rPr>
        <w:t xml:space="preserve">, University College London Press, Institute of Archaeology, Londres: 79-99. </w:t>
      </w:r>
    </w:p>
    <w:p w:rsidR="00AC0B7F" w:rsidRPr="00882A04" w:rsidRDefault="00AC0B7F" w:rsidP="005D2568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882A04">
        <w:rPr>
          <w:rFonts w:ascii="Verdana" w:hAnsi="Verdana" w:cs="Arial"/>
          <w:bCs/>
          <w:sz w:val="22"/>
          <w:szCs w:val="22"/>
          <w:lang w:val="en-GB"/>
        </w:rPr>
        <w:lastRenderedPageBreak/>
        <w:t xml:space="preserve">Moss, R. L. B. 1932. Two Middle-Kingdom Stelae in the Louvre. En </w:t>
      </w:r>
      <w:r w:rsidRPr="00882A04">
        <w:rPr>
          <w:rFonts w:ascii="Verdana" w:hAnsi="Verdana" w:cs="Arial"/>
          <w:bCs/>
          <w:i/>
          <w:sz w:val="22"/>
          <w:szCs w:val="22"/>
          <w:lang w:val="en-GB"/>
        </w:rPr>
        <w:t>Studies Presented toE LI Griffith</w:t>
      </w:r>
      <w:r w:rsidRPr="00882A04">
        <w:rPr>
          <w:rFonts w:ascii="Verdana" w:hAnsi="Verdana" w:cs="Arial"/>
          <w:bCs/>
          <w:sz w:val="22"/>
          <w:szCs w:val="22"/>
          <w:lang w:val="en-GB"/>
        </w:rPr>
        <w:t>, Londres.</w:t>
      </w:r>
    </w:p>
    <w:p w:rsidR="00AC0B7F" w:rsidRPr="00882A04" w:rsidRDefault="00AC0B7F" w:rsidP="005D2568">
      <w:pPr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/>
        </w:rPr>
        <w:t>Müller, M. 1998. “Egyptian Aesthetics in the Middle Kingdom”, en Ch. J. Eyre Seventh International Congress of Egyptologists, 785-792. Leuven: Uitgeverij Peeters.</w:t>
      </w:r>
    </w:p>
    <w:p w:rsidR="00AC0B7F" w:rsidRPr="00882A04" w:rsidRDefault="00AC0B7F" w:rsidP="005D2568">
      <w:pPr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/>
        </w:rPr>
        <w:t xml:space="preserve">Müller, M. 2015. “Iconography and Symbolism”, en </w:t>
      </w:r>
      <w:r w:rsidRPr="00882A04">
        <w:rPr>
          <w:rFonts w:ascii="Verdana" w:hAnsi="Verdana" w:cs="Arial"/>
          <w:i/>
          <w:sz w:val="22"/>
          <w:szCs w:val="22"/>
          <w:lang w:val="en-US"/>
        </w:rPr>
        <w:t>A Companion to Ancient Egyptian Art</w:t>
      </w:r>
      <w:r w:rsidRPr="00882A04">
        <w:rPr>
          <w:rFonts w:ascii="Verdana" w:hAnsi="Verdana" w:cs="Arial"/>
          <w:sz w:val="22"/>
          <w:szCs w:val="22"/>
          <w:lang w:val="en-US"/>
        </w:rPr>
        <w:t xml:space="preserve">, 78-97. Chichester: Wiley-Blackwell. </w:t>
      </w:r>
    </w:p>
    <w:p w:rsidR="00AC0B7F" w:rsidRPr="00882A04" w:rsidRDefault="00AC0B7F" w:rsidP="005D2568">
      <w:pPr>
        <w:jc w:val="both"/>
        <w:rPr>
          <w:rFonts w:ascii="Verdana" w:hAnsi="Verdana" w:cs="Arial"/>
          <w:sz w:val="22"/>
          <w:szCs w:val="22"/>
        </w:rPr>
      </w:pPr>
      <w:r w:rsidRPr="00882A04">
        <w:rPr>
          <w:rFonts w:ascii="Verdana" w:hAnsi="Verdana" w:cs="Arial"/>
          <w:bCs/>
          <w:sz w:val="22"/>
          <w:szCs w:val="22"/>
          <w:lang w:val="pt-BR"/>
        </w:rPr>
        <w:t>Obsomer</w:t>
      </w:r>
      <w:r w:rsidRPr="00882A04">
        <w:rPr>
          <w:rFonts w:ascii="Verdana" w:hAnsi="Verdana" w:cs="Arial"/>
          <w:sz w:val="22"/>
          <w:szCs w:val="22"/>
          <w:lang w:val="pt-BR"/>
        </w:rPr>
        <w:t xml:space="preserve">, C. </w:t>
      </w:r>
      <w:r w:rsidRPr="00882A04">
        <w:rPr>
          <w:rFonts w:ascii="Verdana" w:hAnsi="Verdana" w:cs="Arial"/>
          <w:bCs/>
          <w:sz w:val="22"/>
          <w:szCs w:val="22"/>
          <w:lang w:val="pt-BR"/>
        </w:rPr>
        <w:t>1993</w:t>
      </w:r>
      <w:r w:rsidRPr="00882A04">
        <w:rPr>
          <w:rFonts w:ascii="Verdana" w:hAnsi="Verdana" w:cs="Arial"/>
          <w:sz w:val="22"/>
          <w:szCs w:val="22"/>
          <w:lang w:val="pt-BR"/>
        </w:rPr>
        <w:t xml:space="preserve">. La Date du Nesou-Montou. </w:t>
      </w:r>
      <w:r w:rsidRPr="00882A04">
        <w:rPr>
          <w:rFonts w:ascii="Verdana" w:hAnsi="Verdana" w:cs="Arial"/>
          <w:bCs/>
          <w:i/>
          <w:sz w:val="22"/>
          <w:szCs w:val="22"/>
        </w:rPr>
        <w:t>Rd</w:t>
      </w:r>
      <w:r w:rsidRPr="00882A04">
        <w:rPr>
          <w:rFonts w:ascii="Verdana" w:hAnsi="Verdana" w:cs="Arial"/>
          <w:i/>
          <w:sz w:val="22"/>
          <w:szCs w:val="22"/>
        </w:rPr>
        <w:t>'E</w:t>
      </w:r>
      <w:r w:rsidRPr="00882A04">
        <w:rPr>
          <w:rFonts w:ascii="Verdana" w:hAnsi="Verdana" w:cs="Arial"/>
          <w:sz w:val="22"/>
          <w:szCs w:val="22"/>
        </w:rPr>
        <w:t xml:space="preserve"> </w:t>
      </w:r>
      <w:r w:rsidRPr="00882A04">
        <w:rPr>
          <w:rFonts w:ascii="Verdana" w:hAnsi="Verdana" w:cs="Arial"/>
          <w:bCs/>
          <w:sz w:val="22"/>
          <w:szCs w:val="22"/>
        </w:rPr>
        <w:t>44</w:t>
      </w:r>
      <w:r w:rsidRPr="00882A04">
        <w:rPr>
          <w:rFonts w:ascii="Verdana" w:hAnsi="Verdana" w:cs="Arial"/>
          <w:sz w:val="22"/>
          <w:szCs w:val="22"/>
        </w:rPr>
        <w:t>: 103-140.</w:t>
      </w:r>
    </w:p>
    <w:p w:rsidR="00AC0B7F" w:rsidRPr="00882A04" w:rsidRDefault="00AC0B7F" w:rsidP="005D2568">
      <w:pPr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</w:rPr>
        <w:t xml:space="preserve">Pagès-Camagna, S. y S. Colinart. </w:t>
      </w:r>
      <w:r w:rsidRPr="00882A04">
        <w:rPr>
          <w:rFonts w:ascii="Verdana" w:hAnsi="Verdana" w:cs="Arial"/>
          <w:sz w:val="22"/>
          <w:szCs w:val="22"/>
          <w:lang w:val="en-US"/>
        </w:rPr>
        <w:t>2003. “The Egyptian Green Pigment: Its Manufacturing Process and Links to Egyptian Blue”,</w:t>
      </w:r>
      <w:r w:rsidRPr="00882A04">
        <w:rPr>
          <w:rFonts w:ascii="Verdana" w:hAnsi="Verdana" w:cs="Arial"/>
          <w:i/>
          <w:sz w:val="22"/>
          <w:szCs w:val="22"/>
          <w:lang w:val="en-US"/>
        </w:rPr>
        <w:t xml:space="preserve"> Archaeometry</w:t>
      </w:r>
      <w:r w:rsidRPr="00882A04">
        <w:rPr>
          <w:rFonts w:ascii="Verdana" w:hAnsi="Verdana" w:cs="Arial"/>
          <w:sz w:val="22"/>
          <w:szCs w:val="22"/>
          <w:lang w:val="en-US"/>
        </w:rPr>
        <w:t xml:space="preserve"> 45: 637-658. </w:t>
      </w:r>
    </w:p>
    <w:p w:rsidR="00AC0B7F" w:rsidRPr="00882A04" w:rsidRDefault="00AC0B7F" w:rsidP="005D2568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882A04">
        <w:rPr>
          <w:rFonts w:ascii="Verdana" w:hAnsi="Verdana" w:cs="Arial"/>
          <w:sz w:val="22"/>
          <w:szCs w:val="22"/>
          <w:lang w:val="en-GB"/>
        </w:rPr>
        <w:t xml:space="preserve">Parkinson, R. 1991. </w:t>
      </w:r>
      <w:r w:rsidRPr="00882A04">
        <w:rPr>
          <w:rFonts w:ascii="Verdana" w:hAnsi="Verdana" w:cs="Arial"/>
          <w:i/>
          <w:iCs/>
          <w:sz w:val="22"/>
          <w:szCs w:val="22"/>
          <w:lang w:val="en-GB"/>
        </w:rPr>
        <w:t>Voices from Ancient Egypt. An Anthology of Middle Kingdom Writings</w:t>
      </w:r>
      <w:r w:rsidRPr="00882A04">
        <w:rPr>
          <w:rFonts w:ascii="Verdana" w:hAnsi="Verdana" w:cs="Arial"/>
          <w:sz w:val="22"/>
          <w:szCs w:val="22"/>
          <w:lang w:val="en-GB"/>
        </w:rPr>
        <w:t>, Londres: British Museum Press.</w:t>
      </w:r>
    </w:p>
    <w:p w:rsidR="00AC0B7F" w:rsidRPr="00882A04" w:rsidRDefault="00AC0B7F" w:rsidP="005D2568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882A04">
        <w:rPr>
          <w:rFonts w:ascii="Verdana" w:hAnsi="Verdana" w:cs="Arial"/>
          <w:sz w:val="22"/>
          <w:szCs w:val="22"/>
          <w:lang w:val="en-GB"/>
        </w:rPr>
        <w:t xml:space="preserve">Quike, S. 1991. </w:t>
      </w:r>
      <w:r w:rsidRPr="00882A04">
        <w:rPr>
          <w:rFonts w:ascii="Verdana" w:hAnsi="Verdana" w:cs="Arial"/>
          <w:i/>
          <w:iCs/>
          <w:sz w:val="22"/>
          <w:szCs w:val="22"/>
          <w:lang w:val="en-GB"/>
        </w:rPr>
        <w:t>Middle Kingdom Studies</w:t>
      </w:r>
      <w:r w:rsidRPr="00882A04">
        <w:rPr>
          <w:rFonts w:ascii="Verdana" w:hAnsi="Verdana" w:cs="Arial"/>
          <w:sz w:val="22"/>
          <w:szCs w:val="22"/>
          <w:lang w:val="en-GB"/>
        </w:rPr>
        <w:t>,</w:t>
      </w:r>
      <w:r w:rsidRPr="00882A04">
        <w:rPr>
          <w:rFonts w:ascii="Verdana" w:hAnsi="Verdana" w:cs="Arial"/>
          <w:sz w:val="22"/>
          <w:szCs w:val="22"/>
          <w:lang w:val="en-US"/>
        </w:rPr>
        <w:t xml:space="preserve"> New Malden: SIA</w:t>
      </w:r>
      <w:r w:rsidRPr="00882A04">
        <w:rPr>
          <w:rFonts w:ascii="Verdana" w:hAnsi="Verdana" w:cs="Arial"/>
          <w:sz w:val="22"/>
          <w:szCs w:val="22"/>
          <w:lang w:val="en-GB"/>
        </w:rPr>
        <w:t xml:space="preserve"> Publishing</w:t>
      </w:r>
      <w:r w:rsidRPr="00882A04">
        <w:rPr>
          <w:rFonts w:ascii="Verdana" w:hAnsi="Verdana" w:cs="Arial"/>
          <w:sz w:val="22"/>
          <w:szCs w:val="22"/>
          <w:lang w:val="en-US"/>
        </w:rPr>
        <w:t>.</w:t>
      </w:r>
    </w:p>
    <w:p w:rsidR="00AC0B7F" w:rsidRPr="00882A04" w:rsidRDefault="00AC0B7F" w:rsidP="005D2568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882A04">
        <w:rPr>
          <w:rFonts w:ascii="Verdana" w:hAnsi="Verdana" w:cs="Arial"/>
          <w:sz w:val="22"/>
          <w:szCs w:val="22"/>
          <w:lang w:val="en-GB"/>
        </w:rPr>
        <w:t xml:space="preserve">Quirke, S. 2004. </w:t>
      </w:r>
      <w:r w:rsidRPr="00882A04">
        <w:rPr>
          <w:rFonts w:ascii="Verdana" w:hAnsi="Verdana" w:cs="Arial"/>
          <w:i/>
          <w:iCs/>
          <w:sz w:val="22"/>
          <w:szCs w:val="22"/>
          <w:lang w:val="en-GB"/>
        </w:rPr>
        <w:t>Egyptian Literature 1800 BC. Questions and Readings</w:t>
      </w:r>
      <w:r w:rsidRPr="00882A04">
        <w:rPr>
          <w:rFonts w:ascii="Verdana" w:hAnsi="Verdana" w:cs="Arial"/>
          <w:sz w:val="22"/>
          <w:szCs w:val="22"/>
          <w:lang w:val="en-GB"/>
        </w:rPr>
        <w:t>, Londres: Golden House Publications.</w:t>
      </w:r>
    </w:p>
    <w:p w:rsidR="00AC0B7F" w:rsidRPr="00882A04" w:rsidRDefault="00AC0B7F" w:rsidP="005D2568">
      <w:pPr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/>
        </w:rPr>
        <w:t xml:space="preserve">Robins, G. 1986. </w:t>
      </w:r>
      <w:r w:rsidRPr="00882A04">
        <w:rPr>
          <w:rFonts w:ascii="Verdana" w:hAnsi="Verdana" w:cs="Arial"/>
          <w:i/>
          <w:sz w:val="22"/>
          <w:szCs w:val="22"/>
          <w:lang w:val="en-US"/>
        </w:rPr>
        <w:t>Egyptian Painting and Relief</w:t>
      </w:r>
      <w:r w:rsidRPr="00882A04">
        <w:rPr>
          <w:rFonts w:ascii="Verdana" w:hAnsi="Verdana" w:cs="Arial"/>
          <w:sz w:val="22"/>
          <w:szCs w:val="22"/>
          <w:lang w:val="en-US"/>
        </w:rPr>
        <w:t xml:space="preserve">. Aylesbury: Shire Publications Ltd. </w:t>
      </w:r>
    </w:p>
    <w:p w:rsidR="00AC0B7F" w:rsidRPr="00882A04" w:rsidRDefault="00AC0B7F" w:rsidP="005D2568">
      <w:pPr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/>
        </w:rPr>
        <w:t xml:space="preserve">Robins, G. 1990. “The reign of Nebhepetre Montuhotep II and the pre-reunification Theban style of relief”, en </w:t>
      </w:r>
      <w:r w:rsidRPr="00882A04">
        <w:rPr>
          <w:rFonts w:ascii="Verdana" w:hAnsi="Verdana" w:cs="Arial"/>
          <w:i/>
          <w:sz w:val="22"/>
          <w:szCs w:val="22"/>
          <w:lang w:val="en-US"/>
        </w:rPr>
        <w:t>Beyond the Pyramids: Egyptian Regional Art from the Museo Egizio</w:t>
      </w:r>
      <w:r w:rsidRPr="00882A04">
        <w:rPr>
          <w:rFonts w:ascii="Verdana" w:hAnsi="Verdana" w:cs="Arial"/>
          <w:sz w:val="22"/>
          <w:szCs w:val="22"/>
          <w:lang w:val="en-US"/>
        </w:rPr>
        <w:t xml:space="preserve">, 39-45. Emory University Museum of Art and Archaeology: Atlanta. </w:t>
      </w:r>
    </w:p>
    <w:p w:rsidR="00AC0B7F" w:rsidRPr="00882A04" w:rsidRDefault="00AC0B7F" w:rsidP="005D2568">
      <w:pPr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/>
        </w:rPr>
        <w:t xml:space="preserve">Robins, G. 1994. </w:t>
      </w:r>
      <w:r w:rsidRPr="00882A04">
        <w:rPr>
          <w:rFonts w:ascii="Verdana" w:hAnsi="Verdana" w:cs="Arial"/>
          <w:i/>
          <w:sz w:val="22"/>
          <w:szCs w:val="22"/>
          <w:lang w:val="en-US"/>
        </w:rPr>
        <w:t>Proportion and Style in Ancient Egyptian Art</w:t>
      </w:r>
      <w:r w:rsidRPr="00882A04">
        <w:rPr>
          <w:rFonts w:ascii="Verdana" w:hAnsi="Verdana" w:cs="Arial"/>
          <w:sz w:val="22"/>
          <w:szCs w:val="22"/>
          <w:lang w:val="en-US"/>
        </w:rPr>
        <w:t xml:space="preserve">, Thames and Hudson: Londres. </w:t>
      </w:r>
    </w:p>
    <w:p w:rsidR="00AC0B7F" w:rsidRPr="00882A04" w:rsidRDefault="00AC0B7F" w:rsidP="005D2568">
      <w:pPr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/>
        </w:rPr>
        <w:t xml:space="preserve">Robins, G. 2001. The Oxford Encyclopedia of Ancient Egypt, s.v. “Color Symbolism”, Oxford University Press: New York. </w:t>
      </w:r>
    </w:p>
    <w:p w:rsidR="00AC0B7F" w:rsidRPr="00882A04" w:rsidRDefault="005D2568" w:rsidP="00AC0B7F">
      <w:pPr>
        <w:tabs>
          <w:tab w:val="left" w:pos="6300"/>
        </w:tabs>
        <w:ind w:hanging="709"/>
        <w:rPr>
          <w:rFonts w:ascii="Verdana" w:hAnsi="Verdana" w:cs="Arial"/>
          <w:sz w:val="22"/>
          <w:szCs w:val="22"/>
          <w:lang w:val="en-GB"/>
        </w:rPr>
      </w:pPr>
      <w:r w:rsidRPr="00882A04">
        <w:rPr>
          <w:rFonts w:ascii="Verdana" w:hAnsi="Verdana" w:cs="Arial"/>
          <w:sz w:val="22"/>
          <w:szCs w:val="22"/>
          <w:lang w:val="en-GB"/>
        </w:rPr>
        <w:tab/>
      </w:r>
      <w:r w:rsidR="00AC0B7F" w:rsidRPr="00882A04">
        <w:rPr>
          <w:rFonts w:ascii="Verdana" w:hAnsi="Verdana" w:cs="Arial"/>
          <w:sz w:val="22"/>
          <w:szCs w:val="22"/>
          <w:lang w:val="en-GB"/>
        </w:rPr>
        <w:t xml:space="preserve">Rosati, G. </w:t>
      </w:r>
      <w:smartTag w:uri="urn:schemas-microsoft-com:office:smarttags" w:element="metricconverter">
        <w:smartTagPr>
          <w:attr w:name="ProductID" w:val="2004. A"/>
        </w:smartTagPr>
        <w:r w:rsidR="00AC0B7F" w:rsidRPr="00882A04">
          <w:rPr>
            <w:rFonts w:ascii="Verdana" w:hAnsi="Verdana" w:cs="Arial"/>
            <w:sz w:val="22"/>
            <w:szCs w:val="22"/>
            <w:lang w:val="en-GB"/>
          </w:rPr>
          <w:t>2004. A</w:t>
        </w:r>
      </w:smartTag>
      <w:r w:rsidR="00AC0B7F" w:rsidRPr="00882A04">
        <w:rPr>
          <w:rFonts w:ascii="Verdana" w:hAnsi="Verdana" w:cs="Arial"/>
          <w:sz w:val="22"/>
          <w:szCs w:val="22"/>
          <w:lang w:val="en-GB"/>
        </w:rPr>
        <w:t xml:space="preserve"> Group of Middle Kingdom Stelae from El Rizeiqat/El Gebelein. </w:t>
      </w:r>
      <w:r w:rsidR="00AC0B7F" w:rsidRPr="00882A04">
        <w:rPr>
          <w:rFonts w:ascii="Verdana" w:hAnsi="Verdana" w:cs="Arial"/>
          <w:i/>
          <w:sz w:val="22"/>
          <w:szCs w:val="22"/>
          <w:lang w:val="en-GB"/>
        </w:rPr>
        <w:t xml:space="preserve">Studien zur Altägyptischen Kultur </w:t>
      </w:r>
      <w:r w:rsidR="00AC0B7F" w:rsidRPr="00882A04">
        <w:rPr>
          <w:rFonts w:ascii="Verdana" w:hAnsi="Verdana" w:cs="Arial"/>
          <w:sz w:val="22"/>
          <w:szCs w:val="22"/>
          <w:lang w:val="en-GB"/>
        </w:rPr>
        <w:t>32: 333-349.</w:t>
      </w:r>
    </w:p>
    <w:p w:rsidR="00AC0B7F" w:rsidRPr="00882A04" w:rsidRDefault="00AC0B7F" w:rsidP="005D2568">
      <w:pPr>
        <w:jc w:val="both"/>
        <w:rPr>
          <w:rFonts w:ascii="Verdana" w:hAnsi="Verdana" w:cs="Arial"/>
          <w:sz w:val="22"/>
          <w:szCs w:val="22"/>
        </w:rPr>
      </w:pPr>
      <w:r w:rsidRPr="00882A04">
        <w:rPr>
          <w:rFonts w:ascii="Verdana" w:hAnsi="Verdana" w:cs="Arial"/>
          <w:sz w:val="22"/>
          <w:szCs w:val="22"/>
          <w:lang w:val="en-US"/>
        </w:rPr>
        <w:t xml:space="preserve">Russmann, E. R. 1995. “A Second Style in Egyptian Art of the Old Kingdom.” </w:t>
      </w:r>
      <w:r w:rsidRPr="00882A04">
        <w:rPr>
          <w:rFonts w:ascii="Verdana" w:hAnsi="Verdana" w:cs="Arial"/>
          <w:i/>
          <w:sz w:val="22"/>
          <w:szCs w:val="22"/>
        </w:rPr>
        <w:t>Mitteilungen des Deutschen Archäologischen Instituts</w:t>
      </w:r>
      <w:r w:rsidRPr="00882A04">
        <w:rPr>
          <w:rFonts w:ascii="Verdana" w:hAnsi="Verdana" w:cs="Arial"/>
          <w:sz w:val="22"/>
          <w:szCs w:val="22"/>
        </w:rPr>
        <w:t xml:space="preserve">, Abteilung Kairo 51: 269- 279. </w:t>
      </w:r>
    </w:p>
    <w:p w:rsidR="00AC0B7F" w:rsidRPr="00882A04" w:rsidRDefault="00AC0B7F" w:rsidP="00AC0B7F">
      <w:pPr>
        <w:autoSpaceDE w:val="0"/>
        <w:autoSpaceDN w:val="0"/>
        <w:adjustRightInd w:val="0"/>
        <w:ind w:left="709" w:hanging="709"/>
        <w:jc w:val="both"/>
        <w:rPr>
          <w:rFonts w:ascii="Verdana" w:hAnsi="Verdana" w:cs="Arial"/>
          <w:sz w:val="22"/>
          <w:szCs w:val="22"/>
        </w:rPr>
      </w:pPr>
      <w:r w:rsidRPr="00882A04">
        <w:rPr>
          <w:rFonts w:ascii="Verdana" w:hAnsi="Verdana" w:cs="Arial"/>
          <w:bCs/>
          <w:sz w:val="22"/>
          <w:szCs w:val="22"/>
          <w:lang w:val="es-MX"/>
        </w:rPr>
        <w:t>Serrano Delgado, J. M</w:t>
      </w:r>
      <w:r w:rsidRPr="00882A04">
        <w:rPr>
          <w:rFonts w:ascii="Verdana" w:hAnsi="Verdana" w:cs="Arial"/>
          <w:sz w:val="22"/>
          <w:szCs w:val="22"/>
          <w:lang w:val="es-MX"/>
        </w:rPr>
        <w:t xml:space="preserve">., 1993. </w:t>
      </w:r>
      <w:r w:rsidRPr="00882A04">
        <w:rPr>
          <w:rFonts w:ascii="Verdana" w:hAnsi="Verdana" w:cs="Arial"/>
          <w:i/>
          <w:sz w:val="22"/>
          <w:szCs w:val="22"/>
          <w:lang w:val="es-MX"/>
        </w:rPr>
        <w:t>Textos para la Historia Antigua de Egipto</w:t>
      </w:r>
      <w:r w:rsidRPr="00882A04">
        <w:rPr>
          <w:rFonts w:ascii="Verdana" w:hAnsi="Verdana" w:cs="Arial"/>
          <w:sz w:val="22"/>
          <w:szCs w:val="22"/>
          <w:lang w:val="es-MX"/>
        </w:rPr>
        <w:t xml:space="preserve">. </w:t>
      </w:r>
      <w:r w:rsidRPr="00882A04">
        <w:rPr>
          <w:rFonts w:ascii="Verdana" w:hAnsi="Verdana" w:cs="Arial"/>
          <w:sz w:val="22"/>
          <w:szCs w:val="22"/>
        </w:rPr>
        <w:t>Madrid: Ediciones Cátedra.</w:t>
      </w:r>
    </w:p>
    <w:p w:rsidR="00AC0B7F" w:rsidRPr="00882A04" w:rsidRDefault="00AC0B7F" w:rsidP="00AC0B7F">
      <w:pPr>
        <w:ind w:left="709" w:hanging="709"/>
        <w:jc w:val="both"/>
        <w:rPr>
          <w:rFonts w:ascii="Verdana" w:hAnsi="Verdana" w:cs="Arial"/>
          <w:i/>
          <w:sz w:val="22"/>
          <w:szCs w:val="22"/>
          <w:lang w:val="de-DE" w:eastAsia="es-ES"/>
        </w:rPr>
      </w:pPr>
      <w:r w:rsidRPr="00882A04">
        <w:rPr>
          <w:rFonts w:ascii="Verdana" w:hAnsi="Verdana" w:cs="Arial"/>
          <w:sz w:val="22"/>
          <w:szCs w:val="22"/>
          <w:lang w:val="de-DE" w:eastAsia="es-ES"/>
        </w:rPr>
        <w:t xml:space="preserve">Sethe, K., 1923. </w:t>
      </w:r>
      <w:r w:rsidRPr="00882A04">
        <w:rPr>
          <w:rFonts w:ascii="Verdana" w:hAnsi="Verdana" w:cs="Arial"/>
          <w:i/>
          <w:sz w:val="22"/>
          <w:szCs w:val="22"/>
          <w:lang w:val="de-DE" w:eastAsia="es-ES"/>
        </w:rPr>
        <w:t>Urkunden des aegyptischen Altertums</w:t>
      </w:r>
      <w:r w:rsidRPr="00882A04">
        <w:rPr>
          <w:rFonts w:ascii="Verdana" w:hAnsi="Verdana"/>
          <w:sz w:val="22"/>
          <w:szCs w:val="22"/>
          <w:lang w:val="de-DE"/>
        </w:rPr>
        <w:t xml:space="preserve"> en </w:t>
      </w:r>
      <w:hyperlink r:id="rId8" w:history="1">
        <w:r w:rsidRPr="00882A04">
          <w:rPr>
            <w:rStyle w:val="Hipervnculo"/>
            <w:rFonts w:ascii="Verdana" w:hAnsi="Verdana"/>
            <w:sz w:val="22"/>
            <w:szCs w:val="22"/>
            <w:lang w:val="de-DE"/>
          </w:rPr>
          <w:t>http://www.egyptologyforum.org/EEFUrk.html</w:t>
        </w:r>
      </w:hyperlink>
    </w:p>
    <w:p w:rsidR="00AC0B7F" w:rsidRPr="00882A04" w:rsidRDefault="00AC0B7F" w:rsidP="005D2568">
      <w:pPr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/>
        </w:rPr>
        <w:t xml:space="preserve">Smith, W. St. 1949. </w:t>
      </w:r>
      <w:r w:rsidRPr="00882A04">
        <w:rPr>
          <w:rFonts w:ascii="Verdana" w:hAnsi="Verdana" w:cs="Arial"/>
          <w:i/>
          <w:sz w:val="22"/>
          <w:szCs w:val="22"/>
          <w:lang w:val="en-US"/>
        </w:rPr>
        <w:t>A History of Egyptian Sculpture and Painting in the Old Kingdom</w:t>
      </w:r>
      <w:r w:rsidRPr="00882A04">
        <w:rPr>
          <w:rFonts w:ascii="Verdana" w:hAnsi="Verdana" w:cs="Arial"/>
          <w:sz w:val="22"/>
          <w:szCs w:val="22"/>
          <w:lang w:val="en-US"/>
        </w:rPr>
        <w:t xml:space="preserve">, Museum of Fine Arts Boston. 2ª ed. </w:t>
      </w:r>
    </w:p>
    <w:p w:rsidR="00AC0B7F" w:rsidRPr="00882A04" w:rsidRDefault="005D2568" w:rsidP="00AC0B7F">
      <w:pPr>
        <w:tabs>
          <w:tab w:val="left" w:pos="6300"/>
        </w:tabs>
        <w:ind w:hanging="709"/>
        <w:rPr>
          <w:rFonts w:ascii="Verdana" w:hAnsi="Verdana" w:cs="Arial"/>
          <w:sz w:val="22"/>
          <w:szCs w:val="22"/>
          <w:lang w:val="fr-FR"/>
        </w:rPr>
      </w:pPr>
      <w:r w:rsidRPr="00882A04">
        <w:rPr>
          <w:rFonts w:ascii="Verdana" w:hAnsi="Verdana" w:cs="Arial"/>
          <w:sz w:val="22"/>
          <w:szCs w:val="22"/>
          <w:lang w:val="en-GB"/>
        </w:rPr>
        <w:tab/>
      </w:r>
      <w:r w:rsidR="00AC0B7F" w:rsidRPr="00882A04">
        <w:rPr>
          <w:rFonts w:ascii="Verdana" w:hAnsi="Verdana" w:cs="Arial"/>
          <w:sz w:val="22"/>
          <w:szCs w:val="22"/>
          <w:lang w:val="en-GB"/>
        </w:rPr>
        <w:t xml:space="preserve">Stewart 1979. H.M. </w:t>
      </w:r>
      <w:r w:rsidR="00AC0B7F" w:rsidRPr="00882A04">
        <w:rPr>
          <w:rFonts w:ascii="Verdana" w:hAnsi="Verdana" w:cs="Arial"/>
          <w:i/>
          <w:sz w:val="22"/>
          <w:szCs w:val="22"/>
          <w:lang w:val="en-GB"/>
        </w:rPr>
        <w:t>Egyptian Stelae, Reliefs and Paintings from the Petrie Collection</w:t>
      </w:r>
      <w:r w:rsidR="00AC0B7F" w:rsidRPr="00882A04">
        <w:rPr>
          <w:rFonts w:ascii="Verdana" w:hAnsi="Verdana" w:cs="Arial"/>
          <w:sz w:val="22"/>
          <w:szCs w:val="22"/>
          <w:lang w:val="en-GB"/>
        </w:rPr>
        <w:t xml:space="preserve">. </w:t>
      </w:r>
      <w:r w:rsidR="00AC0B7F" w:rsidRPr="00882A04">
        <w:rPr>
          <w:rFonts w:ascii="Verdana" w:hAnsi="Verdana" w:cs="Arial"/>
          <w:sz w:val="22"/>
          <w:szCs w:val="22"/>
          <w:lang w:val="fr-FR"/>
        </w:rPr>
        <w:t>Part Two: Archaic to Second Intermediate Period. Warminster.</w:t>
      </w:r>
    </w:p>
    <w:p w:rsidR="00AC0B7F" w:rsidRPr="00882A04" w:rsidRDefault="00AC0B7F" w:rsidP="005D2568">
      <w:pPr>
        <w:jc w:val="both"/>
        <w:rPr>
          <w:rFonts w:ascii="Verdana" w:hAnsi="Verdana" w:cs="Arial"/>
          <w:sz w:val="22"/>
          <w:szCs w:val="22"/>
          <w:lang w:val="fr-FR"/>
        </w:rPr>
      </w:pPr>
      <w:r w:rsidRPr="00882A04">
        <w:rPr>
          <w:rFonts w:ascii="Verdana" w:hAnsi="Verdana" w:cs="Arial"/>
          <w:sz w:val="22"/>
          <w:szCs w:val="22"/>
          <w:lang w:val="fr-FR"/>
        </w:rPr>
        <w:t>Sylvie Colinart and Michel Menu, La couleur dans la peinture et l’émaillage de l’Égypte ancienne: Actes de la Table Ronde Ravello, 20-22 mars 1997, Edipuglia: Bari.</w:t>
      </w:r>
    </w:p>
    <w:p w:rsidR="00AC0B7F" w:rsidRPr="00882A04" w:rsidRDefault="00AC0B7F" w:rsidP="005D2568">
      <w:pPr>
        <w:jc w:val="both"/>
        <w:rPr>
          <w:rFonts w:ascii="Verdana" w:hAnsi="Verdana" w:cs="Arial"/>
          <w:sz w:val="22"/>
          <w:szCs w:val="22"/>
          <w:lang w:val="fr-FR"/>
        </w:rPr>
      </w:pPr>
      <w:r w:rsidRPr="00882A04">
        <w:rPr>
          <w:rFonts w:ascii="Verdana" w:hAnsi="Verdana" w:cs="Arial"/>
          <w:sz w:val="22"/>
          <w:szCs w:val="22"/>
          <w:lang w:val="fr-FR"/>
        </w:rPr>
        <w:t xml:space="preserve">Tefnin R, ed. 1997. </w:t>
      </w:r>
      <w:r w:rsidRPr="00882A04">
        <w:rPr>
          <w:rFonts w:ascii="Verdana" w:hAnsi="Verdana" w:cs="Arial"/>
          <w:i/>
          <w:sz w:val="22"/>
          <w:szCs w:val="22"/>
          <w:lang w:val="fr-FR"/>
        </w:rPr>
        <w:t>La peinture égyptienne ancienne: Un monde de signes à préserver</w:t>
      </w:r>
      <w:r w:rsidRPr="00882A04">
        <w:rPr>
          <w:rFonts w:ascii="Verdana" w:hAnsi="Verdana" w:cs="Arial"/>
          <w:sz w:val="22"/>
          <w:szCs w:val="22"/>
          <w:lang w:val="fr-FR"/>
        </w:rPr>
        <w:t xml:space="preserve">, Actes de Colloque international de Bruxelles, avril 1994, Brepols and Fondation Égyptologique Reine Élisabeth : Bruselas. </w:t>
      </w:r>
    </w:p>
    <w:p w:rsidR="00AC0B7F" w:rsidRPr="00882A04" w:rsidRDefault="00AC0B7F" w:rsidP="005D2568">
      <w:pPr>
        <w:jc w:val="both"/>
        <w:rPr>
          <w:rFonts w:ascii="Verdana" w:hAnsi="Verdana" w:cs="Arial"/>
          <w:sz w:val="22"/>
          <w:szCs w:val="22"/>
          <w:lang w:val="fr-FR"/>
        </w:rPr>
      </w:pPr>
      <w:r w:rsidRPr="00882A04">
        <w:rPr>
          <w:rFonts w:ascii="Verdana" w:hAnsi="Verdana" w:cs="Arial"/>
          <w:sz w:val="22"/>
          <w:szCs w:val="22"/>
          <w:lang w:val="fr-FR"/>
        </w:rPr>
        <w:t xml:space="preserve">Tefnin, R. 1991. “Éléments pour une sémiologie de l’image égyptienne”, </w:t>
      </w:r>
      <w:r w:rsidRPr="00882A04">
        <w:rPr>
          <w:rFonts w:ascii="Verdana" w:hAnsi="Verdana" w:cs="Arial"/>
          <w:i/>
          <w:sz w:val="22"/>
          <w:szCs w:val="22"/>
          <w:lang w:val="fr-FR"/>
        </w:rPr>
        <w:t xml:space="preserve">Chronique d’Égypte </w:t>
      </w:r>
      <w:r w:rsidRPr="00882A04">
        <w:rPr>
          <w:rFonts w:ascii="Verdana" w:hAnsi="Verdana" w:cs="Arial"/>
          <w:sz w:val="22"/>
          <w:szCs w:val="22"/>
          <w:lang w:val="fr-FR"/>
        </w:rPr>
        <w:t xml:space="preserve">LXVI:60-88. </w:t>
      </w:r>
    </w:p>
    <w:p w:rsidR="00AC0B7F" w:rsidRPr="00882A04" w:rsidRDefault="00AC0B7F" w:rsidP="005D2568">
      <w:pPr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fr-FR"/>
        </w:rPr>
        <w:t xml:space="preserve">Tefnin, R. 2006. “Comment lire la peinture des tombes thébaines de la 18e dynastie?” </w:t>
      </w:r>
      <w:r w:rsidRPr="00882A04">
        <w:rPr>
          <w:rFonts w:ascii="Verdana" w:hAnsi="Verdana" w:cs="Arial"/>
          <w:sz w:val="22"/>
          <w:szCs w:val="22"/>
        </w:rPr>
        <w:t xml:space="preserve">In </w:t>
      </w:r>
      <w:r w:rsidRPr="00882A04">
        <w:rPr>
          <w:rFonts w:ascii="Verdana" w:hAnsi="Verdana" w:cs="Arial"/>
          <w:i/>
          <w:sz w:val="22"/>
          <w:szCs w:val="22"/>
        </w:rPr>
        <w:t>L’arte nel vicino Oriente antico</w:t>
      </w:r>
      <w:r w:rsidRPr="00882A04">
        <w:rPr>
          <w:rFonts w:ascii="Verdana" w:hAnsi="Verdana" w:cs="Arial"/>
          <w:sz w:val="22"/>
          <w:szCs w:val="22"/>
        </w:rPr>
        <w:t xml:space="preserve">, Atti del Convegno internazionale Milano, 12 marzo 2005, 47-78. </w:t>
      </w:r>
      <w:r w:rsidRPr="00882A04">
        <w:rPr>
          <w:rFonts w:ascii="Verdana" w:hAnsi="Verdana" w:cs="Arial"/>
          <w:sz w:val="22"/>
          <w:szCs w:val="22"/>
          <w:lang w:val="en-US"/>
        </w:rPr>
        <w:t xml:space="preserve">Milano: Centro Studi del Vicino Oriente. </w:t>
      </w:r>
    </w:p>
    <w:p w:rsidR="00AC0B7F" w:rsidRPr="00882A04" w:rsidRDefault="00AC0B7F" w:rsidP="00425109">
      <w:pPr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/>
        </w:rPr>
        <w:lastRenderedPageBreak/>
        <w:t xml:space="preserve">Tiradritti, F. 2008. </w:t>
      </w:r>
      <w:r w:rsidRPr="00882A04">
        <w:rPr>
          <w:rFonts w:ascii="Verdana" w:hAnsi="Verdana" w:cs="Arial"/>
          <w:i/>
          <w:sz w:val="22"/>
          <w:szCs w:val="22"/>
          <w:lang w:val="en-US"/>
        </w:rPr>
        <w:t>Egyptian Wall Paintings</w:t>
      </w:r>
      <w:r w:rsidRPr="00882A04">
        <w:rPr>
          <w:rFonts w:ascii="Verdana" w:hAnsi="Verdana" w:cs="Arial"/>
          <w:sz w:val="22"/>
          <w:szCs w:val="22"/>
          <w:lang w:val="en-US"/>
        </w:rPr>
        <w:t xml:space="preserve">, Abbeville Press: Nueva York. </w:t>
      </w:r>
    </w:p>
    <w:p w:rsidR="00AC0B7F" w:rsidRPr="00882A04" w:rsidRDefault="00AC0B7F" w:rsidP="00425109">
      <w:pPr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/>
        </w:rPr>
        <w:t>Tvischak, D. 2006. “Agency in Old Kingdom elite tomb programs: traditions, locations and variable meanings”, en  M. Fitzenreiter y M. Herb D</w:t>
      </w:r>
      <w:r w:rsidRPr="00882A04">
        <w:rPr>
          <w:rFonts w:ascii="Verdana" w:hAnsi="Verdana" w:cs="Arial"/>
          <w:i/>
          <w:sz w:val="22"/>
          <w:szCs w:val="22"/>
          <w:lang w:val="en-US"/>
        </w:rPr>
        <w:t>ekorierte Grabanlagen im Alten Reich: Methodik und Interpretation</w:t>
      </w:r>
      <w:r w:rsidRPr="00882A04">
        <w:rPr>
          <w:rFonts w:ascii="Verdana" w:hAnsi="Verdana" w:cs="Arial"/>
          <w:sz w:val="22"/>
          <w:szCs w:val="22"/>
          <w:lang w:val="en-US"/>
        </w:rPr>
        <w:t xml:space="preserve">, 277-332. Golden House: Londres. </w:t>
      </w:r>
    </w:p>
    <w:p w:rsidR="00AC0B7F" w:rsidRPr="00882A04" w:rsidRDefault="00AC0B7F" w:rsidP="00425109">
      <w:pPr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/>
        </w:rPr>
        <w:t xml:space="preserve">van Walsem, R. 1998. “The Interpretation of Iconographic Programmes in Old Kingdom Elite Tombs of the Memphite Area: Methodological and Theoretical (Re)Considerations.”, en Ch. J. Eyre, </w:t>
      </w:r>
      <w:r w:rsidRPr="00882A04">
        <w:rPr>
          <w:rFonts w:ascii="Verdana" w:hAnsi="Verdana" w:cs="Arial"/>
          <w:i/>
          <w:sz w:val="22"/>
          <w:szCs w:val="22"/>
          <w:lang w:val="en-US"/>
        </w:rPr>
        <w:t>Seventh International Congress of Egyptologists</w:t>
      </w:r>
      <w:r w:rsidRPr="00882A04">
        <w:rPr>
          <w:rFonts w:ascii="Verdana" w:hAnsi="Verdana" w:cs="Arial"/>
          <w:sz w:val="22"/>
          <w:szCs w:val="22"/>
          <w:lang w:val="en-US"/>
        </w:rPr>
        <w:t xml:space="preserve">, 1205-1213. Uitgeverij Peeters: Lovaina. </w:t>
      </w:r>
    </w:p>
    <w:p w:rsidR="00AC0B7F" w:rsidRPr="00882A04" w:rsidRDefault="00AC0B7F" w:rsidP="00425109">
      <w:pPr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/>
        </w:rPr>
        <w:t xml:space="preserve">van Walsem, R. 2005. </w:t>
      </w:r>
      <w:r w:rsidRPr="00882A04">
        <w:rPr>
          <w:rFonts w:ascii="Verdana" w:hAnsi="Verdana" w:cs="Arial"/>
          <w:i/>
          <w:sz w:val="22"/>
          <w:szCs w:val="22"/>
          <w:lang w:val="en-US"/>
        </w:rPr>
        <w:t>Iconography of the Old Kingdom Elite Tombs: Analysis &amp; Interpretation, Theoretical and Methodological Aspects</w:t>
      </w:r>
      <w:r w:rsidRPr="00882A04">
        <w:rPr>
          <w:rFonts w:ascii="Verdana" w:hAnsi="Verdana" w:cs="Arial"/>
          <w:sz w:val="22"/>
          <w:szCs w:val="22"/>
          <w:lang w:val="en-US"/>
        </w:rPr>
        <w:t>. Leuven: Uitgeverij Peeters: Lovaina.</w:t>
      </w:r>
    </w:p>
    <w:p w:rsidR="00AC0B7F" w:rsidRPr="00882A04" w:rsidRDefault="00AC0B7F" w:rsidP="00425109">
      <w:pPr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/>
        </w:rPr>
        <w:t xml:space="preserve">Warburton, D. A. 2008. “The theoretical implications of Ancient Egyptian colour vocabulary for anthropological and cognitive theory”, </w:t>
      </w:r>
      <w:r w:rsidRPr="00882A04">
        <w:rPr>
          <w:rFonts w:ascii="Verdana" w:hAnsi="Verdana" w:cs="Arial"/>
          <w:i/>
          <w:sz w:val="22"/>
          <w:szCs w:val="22"/>
          <w:lang w:val="en-US"/>
        </w:rPr>
        <w:t>Lingua Aegyptia</w:t>
      </w:r>
      <w:r w:rsidRPr="00882A04">
        <w:rPr>
          <w:rFonts w:ascii="Verdana" w:hAnsi="Verdana" w:cs="Arial"/>
          <w:sz w:val="22"/>
          <w:szCs w:val="22"/>
          <w:lang w:val="en-US"/>
        </w:rPr>
        <w:t xml:space="preserve"> 16:213-259. Weatherhead, F. 2007. </w:t>
      </w:r>
      <w:r w:rsidRPr="00882A04">
        <w:rPr>
          <w:rFonts w:ascii="Verdana" w:hAnsi="Verdana" w:cs="Arial"/>
          <w:i/>
          <w:sz w:val="22"/>
          <w:szCs w:val="22"/>
          <w:lang w:val="en-US"/>
        </w:rPr>
        <w:t>Amarna Palace Paintings</w:t>
      </w:r>
      <w:r w:rsidRPr="00882A04">
        <w:rPr>
          <w:rFonts w:ascii="Verdana" w:hAnsi="Verdana" w:cs="Arial"/>
          <w:sz w:val="22"/>
          <w:szCs w:val="22"/>
          <w:lang w:val="en-US"/>
        </w:rPr>
        <w:t>. London: Egypt Exploration Society: Londres.</w:t>
      </w:r>
    </w:p>
    <w:p w:rsidR="00AC0B7F" w:rsidRPr="00882A04" w:rsidRDefault="00AC0B7F" w:rsidP="00425109">
      <w:pPr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fr-FR"/>
        </w:rPr>
        <w:t xml:space="preserve">Wildung, D. 1997. “Écrire sans écriture: Réflexions sur l’image dans l’art égyptien”, en R. Tefnin, </w:t>
      </w:r>
      <w:r w:rsidRPr="00882A04">
        <w:rPr>
          <w:rFonts w:ascii="Verdana" w:hAnsi="Verdana" w:cs="Arial"/>
          <w:i/>
          <w:sz w:val="22"/>
          <w:szCs w:val="22"/>
          <w:lang w:val="fr-FR"/>
        </w:rPr>
        <w:t>La peinture égyptienne ancienne: Un monde de signes à préserver</w:t>
      </w:r>
      <w:r w:rsidRPr="00882A04">
        <w:rPr>
          <w:rFonts w:ascii="Verdana" w:hAnsi="Verdana" w:cs="Arial"/>
          <w:sz w:val="22"/>
          <w:szCs w:val="22"/>
          <w:lang w:val="fr-FR"/>
        </w:rPr>
        <w:t xml:space="preserve">, Actes de Colloque international de Bruxelles, avril 1994, e 11-16. </w:t>
      </w:r>
      <w:r w:rsidRPr="00882A04">
        <w:rPr>
          <w:rFonts w:ascii="Verdana" w:hAnsi="Verdana" w:cs="Arial"/>
          <w:sz w:val="22"/>
          <w:szCs w:val="22"/>
          <w:lang w:val="en-US"/>
        </w:rPr>
        <w:t xml:space="preserve">Brepols and Fondation Égyptologique Reine Élisabeth : Bruselas. </w:t>
      </w:r>
    </w:p>
    <w:p w:rsidR="00AC0B7F" w:rsidRPr="00882A04" w:rsidRDefault="00AC0B7F" w:rsidP="00425109">
      <w:pPr>
        <w:jc w:val="both"/>
        <w:rPr>
          <w:rFonts w:ascii="Verdana" w:hAnsi="Verdana" w:cs="Arial"/>
          <w:sz w:val="22"/>
          <w:szCs w:val="22"/>
          <w:lang w:val="en-US"/>
        </w:rPr>
      </w:pPr>
      <w:r w:rsidRPr="00882A04">
        <w:rPr>
          <w:rFonts w:ascii="Verdana" w:hAnsi="Verdana" w:cs="Arial"/>
          <w:sz w:val="22"/>
          <w:szCs w:val="22"/>
          <w:lang w:val="en-US"/>
        </w:rPr>
        <w:t xml:space="preserve">Wildung, D. 2003. “The Middle Kingdom as a Bridge to the Past”, en J. Tait, ‘Never Had the Like Occurred’: Egypt’s View of Its Past, 61-78. University College London Press, Institute of Archaeology: Londres. </w:t>
      </w:r>
    </w:p>
    <w:p w:rsidR="0031448B" w:rsidRPr="00882A04" w:rsidRDefault="00833C32">
      <w:pPr>
        <w:rPr>
          <w:rFonts w:ascii="Verdana" w:hAnsi="Verdana"/>
          <w:sz w:val="22"/>
          <w:szCs w:val="22"/>
        </w:rPr>
      </w:pPr>
    </w:p>
    <w:sectPr w:rsidR="0031448B" w:rsidRPr="00882A04" w:rsidSect="00BC6164">
      <w:footerReference w:type="default" r:id="rId9"/>
      <w:footnotePr>
        <w:pos w:val="beneathText"/>
      </w:footnotePr>
      <w:pgSz w:w="11905" w:h="16837"/>
      <w:pgMar w:top="1418" w:right="1418" w:bottom="1418" w:left="1701" w:header="720" w:footer="124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C32" w:rsidRDefault="00833C32" w:rsidP="00025E87">
      <w:r>
        <w:separator/>
      </w:r>
    </w:p>
  </w:endnote>
  <w:endnote w:type="continuationSeparator" w:id="1">
    <w:p w:rsidR="00833C32" w:rsidRDefault="00833C32" w:rsidP="00025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78" w:rsidRDefault="00833C32">
    <w:pPr>
      <w:spacing w:after="80"/>
      <w:ind w:left="2342" w:right="17" w:hanging="2342"/>
      <w:jc w:val="both"/>
      <w:rPr>
        <w:rFonts w:ascii="Arial" w:hAnsi="Arial" w:cs="Arial"/>
        <w:b/>
        <w:bCs/>
        <w:sz w:val="16"/>
        <w:lang w:val="es-AR"/>
      </w:rPr>
    </w:pPr>
  </w:p>
  <w:p w:rsidR="00CA1878" w:rsidRPr="00F1559E" w:rsidRDefault="00425109">
    <w:pPr>
      <w:spacing w:after="80"/>
      <w:ind w:left="2342" w:right="17" w:hanging="2342"/>
      <w:jc w:val="both"/>
      <w:rPr>
        <w:rFonts w:ascii="Arial" w:hAnsi="Arial" w:cs="Arial"/>
        <w:b/>
        <w:color w:val="FF0000"/>
        <w:sz w:val="16"/>
        <w:lang w:val="es-AR"/>
      </w:rPr>
    </w:pPr>
    <w:r w:rsidRPr="00330FDC">
      <w:rPr>
        <w:rFonts w:ascii="Arial" w:hAnsi="Arial" w:cs="Arial"/>
        <w:b/>
        <w:bCs/>
        <w:sz w:val="16"/>
        <w:lang w:val="es-AR"/>
      </w:rPr>
      <w:t xml:space="preserve">Repetición, estereotipos e intersticios en el Egipto faraónico – </w:t>
    </w:r>
    <w:r w:rsidRPr="001B533C">
      <w:rPr>
        <w:rFonts w:ascii="Arial" w:hAnsi="Arial" w:cs="Arial"/>
        <w:b/>
        <w:bCs/>
        <w:sz w:val="16"/>
        <w:lang w:val="es-AR"/>
      </w:rPr>
      <w:t xml:space="preserve">Año </w:t>
    </w:r>
    <w:r>
      <w:rPr>
        <w:rFonts w:ascii="Arial" w:hAnsi="Arial" w:cs="Arial"/>
        <w:b/>
        <w:bCs/>
        <w:sz w:val="16"/>
        <w:lang w:val="es-AR"/>
      </w:rPr>
      <w:t>2018</w:t>
    </w:r>
    <w:r w:rsidRPr="00F1559E">
      <w:rPr>
        <w:rFonts w:ascii="Arial" w:hAnsi="Arial" w:cs="Arial"/>
        <w:b/>
        <w:color w:val="FF0000"/>
        <w:sz w:val="16"/>
        <w:lang w:val="es-AR"/>
      </w:rPr>
      <w:t xml:space="preserve"> </w:t>
    </w:r>
  </w:p>
  <w:p w:rsidR="00CA1878" w:rsidRDefault="00425109">
    <w:pPr>
      <w:pStyle w:val="Piedepgina"/>
    </w:pPr>
    <w:r>
      <w:rPr>
        <w:rFonts w:ascii="Arial" w:hAnsi="Arial" w:cs="Arial"/>
        <w:sz w:val="16"/>
        <w:lang w:val="es-AR"/>
      </w:rPr>
      <w:t xml:space="preserve">U.N.L.P. Facultad de Humanidades y Ciencias de </w:t>
    </w:r>
    <w:smartTag w:uri="urn:schemas-microsoft-com:office:smarttags" w:element="PersonName">
      <w:smartTagPr>
        <w:attr w:name="ProductID" w:val="la Educaci￳n"/>
      </w:smartTagPr>
      <w:r>
        <w:rPr>
          <w:rFonts w:ascii="Arial" w:hAnsi="Arial" w:cs="Arial"/>
          <w:sz w:val="16"/>
          <w:lang w:val="es-AR"/>
        </w:rPr>
        <w:t>la Educación</w:t>
      </w:r>
    </w:smartTag>
    <w:r>
      <w:rPr>
        <w:rFonts w:ascii="Arial" w:hAnsi="Arial" w:cs="Arial"/>
        <w:sz w:val="16"/>
        <w:lang w:val="es-AR"/>
      </w:rPr>
      <w:tab/>
    </w:r>
    <w:r w:rsidR="0078134D">
      <w:rPr>
        <w:rStyle w:val="Nmerodepgina"/>
        <w:rFonts w:cs="Arial"/>
        <w:sz w:val="16"/>
      </w:rPr>
      <w:fldChar w:fldCharType="begin"/>
    </w:r>
    <w:r>
      <w:rPr>
        <w:rStyle w:val="Nmerodepgina"/>
        <w:rFonts w:cs="Arial"/>
        <w:sz w:val="16"/>
      </w:rPr>
      <w:instrText xml:space="preserve"> PAGE </w:instrText>
    </w:r>
    <w:r w:rsidR="0078134D">
      <w:rPr>
        <w:rStyle w:val="Nmerodepgina"/>
        <w:rFonts w:cs="Arial"/>
        <w:sz w:val="16"/>
      </w:rPr>
      <w:fldChar w:fldCharType="separate"/>
    </w:r>
    <w:r w:rsidR="006A7A7D">
      <w:rPr>
        <w:rStyle w:val="Nmerodepgina"/>
        <w:rFonts w:cs="Arial"/>
        <w:noProof/>
        <w:sz w:val="16"/>
      </w:rPr>
      <w:t>2</w:t>
    </w:r>
    <w:r w:rsidR="0078134D">
      <w:rPr>
        <w:rStyle w:val="Nmerodepgina"/>
        <w:rFonts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C32" w:rsidRDefault="00833C32" w:rsidP="00025E87">
      <w:r>
        <w:separator/>
      </w:r>
    </w:p>
  </w:footnote>
  <w:footnote w:type="continuationSeparator" w:id="1">
    <w:p w:rsidR="00833C32" w:rsidRDefault="00833C32" w:rsidP="00025E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C0B7F"/>
    <w:rsid w:val="00025E87"/>
    <w:rsid w:val="00056E68"/>
    <w:rsid w:val="001F0A39"/>
    <w:rsid w:val="001F3CBA"/>
    <w:rsid w:val="00374471"/>
    <w:rsid w:val="003E75C3"/>
    <w:rsid w:val="004039EF"/>
    <w:rsid w:val="00425109"/>
    <w:rsid w:val="004B264D"/>
    <w:rsid w:val="00574D59"/>
    <w:rsid w:val="005D2568"/>
    <w:rsid w:val="0061432B"/>
    <w:rsid w:val="006A7A7D"/>
    <w:rsid w:val="0078134D"/>
    <w:rsid w:val="00833C32"/>
    <w:rsid w:val="00882A04"/>
    <w:rsid w:val="00905918"/>
    <w:rsid w:val="00963CED"/>
    <w:rsid w:val="00975C34"/>
    <w:rsid w:val="009F530E"/>
    <w:rsid w:val="00AC0B7F"/>
    <w:rsid w:val="00BD106F"/>
    <w:rsid w:val="00C7106E"/>
    <w:rsid w:val="00DA6076"/>
    <w:rsid w:val="00FD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AC0B7F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lang w:val="es-A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A6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AC0B7F"/>
    <w:pPr>
      <w:keepNext/>
      <w:tabs>
        <w:tab w:val="num" w:pos="0"/>
      </w:tabs>
      <w:spacing w:after="80"/>
      <w:jc w:val="both"/>
      <w:outlineLvl w:val="2"/>
    </w:pPr>
    <w:rPr>
      <w:rFonts w:ascii="Arial" w:hAnsi="Arial" w:cs="Arial"/>
      <w:b/>
      <w:bCs/>
      <w:sz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C0B7F"/>
    <w:rPr>
      <w:rFonts w:ascii="Arial" w:eastAsia="Times New Roman" w:hAnsi="Arial" w:cs="Arial"/>
      <w:b/>
      <w:bCs/>
      <w:sz w:val="24"/>
      <w:szCs w:val="24"/>
      <w:lang w:val="es-AR" w:eastAsia="ar-SA"/>
    </w:rPr>
  </w:style>
  <w:style w:type="character" w:customStyle="1" w:styleId="Ttulo3Car">
    <w:name w:val="Título 3 Car"/>
    <w:basedOn w:val="Fuentedeprrafopredeter"/>
    <w:link w:val="Ttulo3"/>
    <w:rsid w:val="00AC0B7F"/>
    <w:rPr>
      <w:rFonts w:ascii="Arial" w:eastAsia="Times New Roman" w:hAnsi="Arial" w:cs="Arial"/>
      <w:b/>
      <w:bCs/>
      <w:sz w:val="20"/>
      <w:szCs w:val="24"/>
      <w:lang w:val="es-AR" w:eastAsia="ar-SA"/>
    </w:rPr>
  </w:style>
  <w:style w:type="character" w:customStyle="1" w:styleId="WW8Num2z0">
    <w:name w:val="WW8Num2z0"/>
    <w:rsid w:val="00AC0B7F"/>
    <w:rPr>
      <w:rFonts w:ascii="Symbol" w:hAnsi="Symbol"/>
    </w:rPr>
  </w:style>
  <w:style w:type="character" w:styleId="Nmerodepgina">
    <w:name w:val="page number"/>
    <w:basedOn w:val="Fuentedeprrafopredeter"/>
    <w:rsid w:val="00AC0B7F"/>
  </w:style>
  <w:style w:type="paragraph" w:styleId="Piedepgina">
    <w:name w:val="footer"/>
    <w:basedOn w:val="Normal"/>
    <w:link w:val="PiedepginaCar"/>
    <w:rsid w:val="00AC0B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C0B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notapie">
    <w:name w:val="footnote text"/>
    <w:basedOn w:val="Normal"/>
    <w:link w:val="TextonotapieCar"/>
    <w:rsid w:val="00AC0B7F"/>
    <w:pPr>
      <w:suppressAutoHyphens w:val="0"/>
    </w:pPr>
    <w:rPr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AC0B7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AC0B7F"/>
    <w:rPr>
      <w:b/>
      <w:bCs/>
    </w:rPr>
  </w:style>
  <w:style w:type="character" w:styleId="Hipervnculo">
    <w:name w:val="Hyperlink"/>
    <w:basedOn w:val="Fuentedeprrafopredeter"/>
    <w:rsid w:val="00AC0B7F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AC0B7F"/>
    <w:pPr>
      <w:suppressAutoHyphens w:val="0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AC0B7F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bodytexto">
    <w:name w:val="body_texto"/>
    <w:basedOn w:val="Fuentedeprrafopredeter"/>
    <w:rsid w:val="00AC0B7F"/>
  </w:style>
  <w:style w:type="character" w:customStyle="1" w:styleId="Ttulo2Car">
    <w:name w:val="Título 2 Car"/>
    <w:basedOn w:val="Fuentedeprrafopredeter"/>
    <w:link w:val="Ttulo2"/>
    <w:uiPriority w:val="9"/>
    <w:semiHidden/>
    <w:rsid w:val="00DA6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main-heading">
    <w:name w:val="main-heading"/>
    <w:basedOn w:val="Fuentedeprrafopredeter"/>
    <w:rsid w:val="00DA6076"/>
  </w:style>
  <w:style w:type="character" w:customStyle="1" w:styleId="large">
    <w:name w:val="large"/>
    <w:basedOn w:val="Fuentedeprrafopredeter"/>
    <w:rsid w:val="00DA6076"/>
  </w:style>
  <w:style w:type="paragraph" w:customStyle="1" w:styleId="m7850319000170231381ydpda8331a9yiv4611305803msonormal">
    <w:name w:val="m_7850319000170231381ydpda8331a9yiv4611305803msonormal"/>
    <w:basedOn w:val="Normal"/>
    <w:rsid w:val="00C7106E"/>
    <w:pPr>
      <w:suppressAutoHyphens w:val="0"/>
      <w:spacing w:before="100" w:beforeAutospacing="1" w:after="100" w:afterAutospacing="1"/>
    </w:pPr>
    <w:rPr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yptologyforum.org/EEFUr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toronto.ca/gsunion/hoch/middleegyptiangramm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11</Pages>
  <Words>4426</Words>
  <Characters>24344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7</cp:revision>
  <dcterms:created xsi:type="dcterms:W3CDTF">2019-06-11T23:06:00Z</dcterms:created>
  <dcterms:modified xsi:type="dcterms:W3CDTF">2020-05-13T22:14:00Z</dcterms:modified>
</cp:coreProperties>
</file>